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665922.xml.htm"/>
      <w:bookmarkStart w:id="1" w:name="kswkform4_17846659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Cook Meredith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104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VP, GENERAL COUNSEL &amp; SEC.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2,466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79.2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74,924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tax purposes exempt under Rule 16(b)-3 in connection with the vesting of 4,820 shares of restricted stock, the grant of which was previously reported on July 20, 2022.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8861" TargetMode="External"/><Relationship Id="rId5" Type="http://schemas.openxmlformats.org/officeDocument/2006/relationships/hyperlink" Target="http://www.sec.gov/cgi-bin/browse-edgar?action=getcompany&amp;CIK=00010230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3264</Characters>
  <CharactersWithSpaces>3798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