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7" w:lineRule="exact"/>
        <w:rPr>
          <w:sz w:val="24"/>
          <w:szCs w:val="24"/>
          <w:color w:val="auto"/>
        </w:rPr>
      </w:pPr>
    </w:p>
    <w:p>
      <w:pPr>
        <w:ind w:left="1560" w:hanging="318"/>
        <w:spacing w:after="0"/>
        <w:tabs>
          <w:tab w:leader="none" w:pos="1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UNDER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31" w:lineRule="exact"/>
        <w:rPr>
          <w:sz w:val="24"/>
          <w:szCs w:val="24"/>
          <w:color w:val="auto"/>
        </w:rPr>
      </w:pPr>
    </w:p>
    <w:p>
      <w:pPr>
        <w:ind w:left="1540" w:hanging="282"/>
        <w:spacing w:after="0"/>
        <w:tabs>
          <w:tab w:leader="none" w:pos="15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198"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388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w:t>
            </w:r>
          </w:p>
        </w:tc>
        <w:tc>
          <w:tcPr>
            <w:tcW w:w="4020" w:type="dxa"/>
            <w:vAlign w:val="bottom"/>
            <w:gridSpan w:val="3"/>
          </w:tcPr>
          <w:p>
            <w:pPr>
              <w:jc w:val="right"/>
              <w:ind w:right="3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Commission File Number 001-31812</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359"/>
        </w:trPr>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520" w:type="dxa"/>
            <w:vAlign w:val="bottom"/>
            <w:gridSpan w:val="6"/>
          </w:tcPr>
          <w:p>
            <w:pPr>
              <w:jc w:val="center"/>
              <w:ind w:right="3570"/>
              <w:spacing w:after="0"/>
              <w:rPr>
                <w:sz w:val="20"/>
                <w:szCs w:val="20"/>
                <w:color w:val="auto"/>
              </w:rPr>
            </w:pPr>
            <w:r>
              <w:rPr>
                <w:rFonts w:ascii="Times New Roman" w:cs="Times New Roman" w:eastAsia="Times New Roman" w:hAnsi="Times New Roman"/>
                <w:sz w:val="25"/>
                <w:szCs w:val="25"/>
                <w:b w:val="1"/>
                <w:bCs w:val="1"/>
                <w:color w:val="auto"/>
              </w:rPr>
              <w:t>ANI PHARMACEUTICALS, INC.</w:t>
            </w:r>
          </w:p>
        </w:tc>
      </w:tr>
      <w:tr>
        <w:trPr>
          <w:trHeight w:val="275"/>
        </w:trPr>
        <w:tc>
          <w:tcPr>
            <w:tcW w:w="2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520" w:type="dxa"/>
            <w:vAlign w:val="bottom"/>
            <w:gridSpan w:val="6"/>
          </w:tcPr>
          <w:p>
            <w:pPr>
              <w:jc w:val="center"/>
              <w:ind w:right="35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70"/>
        </w:trPr>
        <w:tc>
          <w:tcPr>
            <w:tcW w:w="2600" w:type="dxa"/>
            <w:vAlign w:val="bottom"/>
          </w:tcPr>
          <w:p>
            <w:pPr>
              <w:spacing w:after="0"/>
              <w:rPr>
                <w:sz w:val="23"/>
                <w:szCs w:val="23"/>
                <w:color w:val="auto"/>
              </w:rPr>
            </w:pPr>
          </w:p>
        </w:tc>
        <w:tc>
          <w:tcPr>
            <w:tcW w:w="3880" w:type="dxa"/>
            <w:vAlign w:val="bottom"/>
            <w:gridSpan w:val="3"/>
          </w:tcPr>
          <w:p>
            <w:pPr>
              <w:jc w:val="center"/>
              <w:ind w:right="29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80" w:type="dxa"/>
            <w:vAlign w:val="bottom"/>
          </w:tcPr>
          <w:p>
            <w:pPr>
              <w:spacing w:after="0"/>
              <w:rPr>
                <w:sz w:val="23"/>
                <w:szCs w:val="23"/>
                <w:color w:val="auto"/>
              </w:rPr>
            </w:pPr>
          </w:p>
        </w:tc>
        <w:tc>
          <w:tcPr>
            <w:tcW w:w="4020" w:type="dxa"/>
            <w:vAlign w:val="bottom"/>
            <w:gridSpan w:val="3"/>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w w:val="98"/>
              </w:rPr>
              <w:t>58-2301143</w:t>
            </w:r>
          </w:p>
        </w:tc>
      </w:tr>
      <w:tr>
        <w:trPr>
          <w:trHeight w:val="189"/>
        </w:trPr>
        <w:tc>
          <w:tcPr>
            <w:tcW w:w="6480" w:type="dxa"/>
            <w:vAlign w:val="bottom"/>
            <w:gridSpan w:val="4"/>
          </w:tcPr>
          <w:p>
            <w:pPr>
              <w:jc w:val="center"/>
              <w:ind w:right="41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jc w:val="center"/>
              <w:ind w:right="229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8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680" w:type="dxa"/>
            <w:vAlign w:val="bottom"/>
          </w:tcPr>
          <w:p>
            <w:pPr>
              <w:spacing w:after="0"/>
              <w:rPr>
                <w:sz w:val="20"/>
                <w:szCs w:val="20"/>
                <w:color w:val="auto"/>
              </w:rPr>
            </w:pPr>
          </w:p>
        </w:tc>
        <w:tc>
          <w:tcPr>
            <w:tcW w:w="4020" w:type="dxa"/>
            <w:vAlign w:val="bottom"/>
            <w:gridSpan w:val="3"/>
          </w:tcPr>
          <w:p>
            <w:pPr>
              <w:jc w:val="center"/>
              <w:ind w:right="19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83"/>
        </w:trPr>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104 Carnegie Center Drive, Suite 300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0"/>
        </w:trPr>
        <w:tc>
          <w:tcPr>
            <w:tcW w:w="2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Princeton, New Jersey 08540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234"/>
        </w:trPr>
        <w:tc>
          <w:tcPr>
            <w:tcW w:w="2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270"/>
        </w:trPr>
        <w:tc>
          <w:tcPr>
            <w:tcW w:w="2600" w:type="dxa"/>
            <w:vAlign w:val="bottom"/>
          </w:tcPr>
          <w:p>
            <w:pPr>
              <w:spacing w:after="0"/>
              <w:rPr>
                <w:sz w:val="23"/>
                <w:szCs w:val="23"/>
                <w:color w:val="auto"/>
              </w:rPr>
            </w:pPr>
          </w:p>
        </w:tc>
        <w:tc>
          <w:tcPr>
            <w:tcW w:w="388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(609) 759-1810</w:t>
            </w: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270"/>
        </w:trPr>
        <w:tc>
          <w:tcPr>
            <w:tcW w:w="2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520" w:type="dxa"/>
            <w:vAlign w:val="bottom"/>
            <w:gridSpan w:val="6"/>
          </w:tcPr>
          <w:p>
            <w:pPr>
              <w:jc w:val="center"/>
              <w:ind w:right="35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70"/>
        </w:trPr>
        <w:tc>
          <w:tcPr>
            <w:tcW w:w="2600" w:type="dxa"/>
            <w:vAlign w:val="bottom"/>
          </w:tcPr>
          <w:p>
            <w:pPr>
              <w:spacing w:after="0"/>
              <w:rPr>
                <w:sz w:val="23"/>
                <w:szCs w:val="23"/>
                <w:color w:val="auto"/>
              </w:rPr>
            </w:pPr>
          </w:p>
        </w:tc>
        <w:tc>
          <w:tcPr>
            <w:tcW w:w="8580" w:type="dxa"/>
            <w:vAlign w:val="bottom"/>
            <w:gridSpan w:val="7"/>
          </w:tcPr>
          <w:p>
            <w:pPr>
              <w:jc w:val="center"/>
              <w:ind w:right="25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24"/>
        </w:trPr>
        <w:tc>
          <w:tcPr>
            <w:tcW w:w="26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Borders>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7"/>
        </w:trPr>
        <w:tc>
          <w:tcPr>
            <w:tcW w:w="2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Common Stock</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ANIP</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r>
    </w:tbl>
    <w:p>
      <w:pPr>
        <w:spacing w:after="0" w:line="7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560"/>
              <w:spacing w:after="0"/>
              <w:rPr>
                <w:sz w:val="20"/>
                <w:szCs w:val="20"/>
                <w:color w:val="auto"/>
              </w:rPr>
            </w:pPr>
            <w:r>
              <w:rPr>
                <w:rFonts w:ascii="Wingdings" w:cs="Wingdings" w:eastAsia="Wingdings" w:hAnsi="Wingdings"/>
                <w:sz w:val="18"/>
                <w:szCs w:val="18"/>
                <w:b w:val="1"/>
                <w:bCs w:val="1"/>
                <w:color w:val="auto"/>
              </w:rPr>
              <w:t>x</w:t>
            </w:r>
          </w:p>
        </w:tc>
        <w:tc>
          <w:tcPr>
            <w:tcW w:w="3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rPr>
                <w:sz w:val="20"/>
                <w:szCs w:val="20"/>
                <w:color w:val="auto"/>
              </w:rPr>
            </w:pPr>
            <w:r>
              <w:rPr>
                <w:rFonts w:ascii="Wingdings" w:cs="Wingdings" w:eastAsia="Wingdings" w:hAnsi="Wingdings"/>
                <w:sz w:val="18"/>
                <w:szCs w:val="18"/>
                <w:b w:val="1"/>
                <w:bCs w:val="1"/>
                <w:color w:val="auto"/>
                <w:w w:val="86"/>
              </w:rPr>
              <w:t>o</w:t>
            </w: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580"/>
              <w:spacing w:after="0"/>
              <w:rPr>
                <w:sz w:val="20"/>
                <w:szCs w:val="20"/>
                <w:color w:val="auto"/>
              </w:rPr>
            </w:pPr>
            <w:r>
              <w:rPr>
                <w:rFonts w:ascii="Wingdings" w:cs="Wingdings" w:eastAsia="Wingdings" w:hAnsi="Wingdings"/>
                <w:sz w:val="18"/>
                <w:szCs w:val="18"/>
                <w:b w:val="1"/>
                <w:bCs w:val="1"/>
                <w:color w:val="auto"/>
              </w:rPr>
              <w:t>o</w:t>
            </w:r>
          </w:p>
        </w:tc>
        <w:tc>
          <w:tcPr>
            <w:tcW w:w="3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rPr>
                <w:sz w:val="20"/>
                <w:szCs w:val="20"/>
                <w:color w:val="auto"/>
              </w:rPr>
            </w:pPr>
            <w:r>
              <w:rPr>
                <w:rFonts w:ascii="Wingdings" w:cs="Wingdings" w:eastAsia="Wingdings" w:hAnsi="Wingdings"/>
                <w:sz w:val="18"/>
                <w:szCs w:val="18"/>
                <w:b w:val="1"/>
                <w:bCs w:val="1"/>
                <w:color w:val="auto"/>
                <w:w w:val="86"/>
              </w:rPr>
              <w:t>o</w:t>
            </w:r>
          </w:p>
        </w:tc>
      </w:tr>
      <w:tr>
        <w:trPr>
          <w:trHeight w:val="243"/>
        </w:trPr>
        <w:tc>
          <w:tcPr>
            <w:tcW w:w="31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60" w:type="dxa"/>
            <w:vAlign w:val="bottom"/>
          </w:tcPr>
          <w:p>
            <w:pPr>
              <w:ind w:left="120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1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29, 2026, there were 22,718,931 shares of common stock and 10,864 shares of class C special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r>
      <w:tr>
        <w:trPr>
          <w:trHeight w:val="822"/>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40" w:type="dxa"/>
            <w:vAlign w:val="bottom"/>
            <w:gridSpan w:val="10"/>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ANI PHARMACEUTICALS, INC.</w:t>
            </w:r>
          </w:p>
        </w:tc>
        <w:tc>
          <w:tcPr>
            <w:tcW w:w="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40" w:type="dxa"/>
            <w:vAlign w:val="bottom"/>
            <w:gridSpan w:val="10"/>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FORM 10-Q — Quarterly Report</w:t>
            </w:r>
          </w:p>
        </w:tc>
        <w:tc>
          <w:tcPr>
            <w:tcW w:w="6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gridSpan w:val="10"/>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September 30, 2026</w:t>
            </w:r>
          </w:p>
        </w:tc>
        <w:tc>
          <w:tcPr>
            <w:tcW w:w="6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3260" w:type="dxa"/>
            <w:vAlign w:val="bottom"/>
            <w:tcBorders>
              <w:bottom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6400" w:type="dxa"/>
            <w:vAlign w:val="bottom"/>
            <w:gridSpan w:val="11"/>
          </w:tcPr>
          <w:p>
            <w:pPr>
              <w:spacing w:after="0"/>
              <w:rPr>
                <w:sz w:val="15"/>
                <w:szCs w:val="15"/>
                <w:color w:val="auto"/>
              </w:rPr>
            </w:pPr>
          </w:p>
        </w:tc>
        <w:tc>
          <w:tcPr>
            <w:tcW w:w="6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20" w:type="dxa"/>
            <w:vAlign w:val="bottom"/>
            <w:gridSpan w:val="4"/>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 — As of September 30, 2026 and December 31, 2025</w:t>
            </w:r>
          </w:p>
        </w:tc>
        <w:tc>
          <w:tcPr>
            <w:tcW w:w="880" w:type="dxa"/>
            <w:vAlign w:val="bottom"/>
            <w:gridSpan w:val="5"/>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 — For the Three and Nine Months Ended September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9"/>
              </w:rPr>
              <w:t>30, 2026 and 2025</w:t>
            </w:r>
          </w:p>
        </w:tc>
        <w:tc>
          <w:tcPr>
            <w:tcW w:w="7040" w:type="dxa"/>
            <w:vAlign w:val="bottom"/>
            <w:tcBorders>
              <w:top w:val="single" w:sz="8" w:color="0000FF"/>
            </w:tcBorders>
            <w:gridSpan w:val="12"/>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For the Three and Nine Months Ended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September 30, 2026 and 2025</w:t>
            </w:r>
          </w:p>
        </w:tc>
        <w:tc>
          <w:tcPr>
            <w:tcW w:w="636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Mezzanine Equity and Stockholders’ Equity (unaudited) — For the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58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Three and Nine Months Ended September 30, 2026 and 2025</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For the Nine Months Ended September 30, 2026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and 2025</w:t>
            </w:r>
          </w:p>
        </w:tc>
        <w:tc>
          <w:tcPr>
            <w:tcW w:w="7680" w:type="dxa"/>
            <w:vAlign w:val="bottom"/>
            <w:tcBorders>
              <w:top w:val="single" w:sz="8" w:color="0000FF"/>
            </w:tcBorders>
            <w:gridSpan w:val="14"/>
          </w:tcPr>
          <w:p>
            <w:pPr>
              <w:spacing w:after="0"/>
              <w:rPr>
                <w:sz w:val="14"/>
                <w:szCs w:val="14"/>
                <w:color w:val="auto"/>
              </w:rPr>
            </w:pPr>
          </w:p>
        </w:tc>
        <w:tc>
          <w:tcPr>
            <w:tcW w:w="260" w:type="dxa"/>
            <w:vAlign w:val="bottom"/>
            <w:gridSpan w:val="4"/>
          </w:tcPr>
          <w:p>
            <w:pPr>
              <w:spacing w:after="0"/>
              <w:rPr>
                <w:sz w:val="14"/>
                <w:szCs w:val="14"/>
                <w:color w:val="auto"/>
              </w:rPr>
            </w:pPr>
          </w:p>
        </w:tc>
        <w:tc>
          <w:tcPr>
            <w:tcW w:w="6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740" w:type="dxa"/>
            <w:vAlign w:val="bottom"/>
            <w:gridSpan w:val="7"/>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500" w:type="dxa"/>
            <w:vAlign w:val="bottom"/>
            <w:gridSpan w:val="3"/>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500" w:type="dxa"/>
            <w:vAlign w:val="bottom"/>
            <w:gridSpan w:val="3"/>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19"/>
                <w:szCs w:val="19"/>
                <w:color w:val="auto"/>
              </w:rPr>
            </w:pPr>
          </w:p>
        </w:tc>
        <w:tc>
          <w:tcPr>
            <w:tcW w:w="500" w:type="dxa"/>
            <w:vAlign w:val="bottom"/>
            <w:gridSpan w:val="3"/>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6700" w:type="dxa"/>
            <w:vAlign w:val="bottom"/>
            <w:gridSpan w:val="13"/>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400" w:type="dxa"/>
            <w:vAlign w:val="bottom"/>
            <w:gridSpan w:val="2"/>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6"/>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6"/>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500" w:type="dxa"/>
            <w:vAlign w:val="bottom"/>
            <w:gridSpan w:val="3"/>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6"/>
            <w:shd w:val="clear" w:color="auto" w:fill="0000FF"/>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500" w:type="dxa"/>
            <w:vAlign w:val="bottom"/>
            <w:gridSpan w:val="3"/>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84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500" w:type="dxa"/>
            <w:vAlign w:val="bottom"/>
            <w:gridSpan w:val="3"/>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300" w:type="dxa"/>
            <w:vAlign w:val="bottom"/>
            <w:gridSpan w:val="1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500" w:type="dxa"/>
            <w:vAlign w:val="bottom"/>
            <w:gridSpan w:val="3"/>
          </w:tcPr>
          <w:p>
            <w:pPr>
              <w:spacing w:after="0"/>
              <w:rPr>
                <w:sz w:val="19"/>
                <w:szCs w:val="19"/>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243" w:right="1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43"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This Quarterly Report on Form 10-Q and certain information incorporated herein by reference contain forward-looking statements within the meaning of Section 27A of the Securities Act of 1933, as amended (the “Securities Act”), and Section 21E of the Securities Exchange Act of 1934, as amended (the “Exchange Act”). All statements other than statements of historical fact contained in this Quarterly Report on Form 10-Q are forward-looking statements. In some cases, you can identify forward-looking statements by terms such as “anticipates,” “may,” “might,” “will,” “should,” “could,” “expects,” “estimates,” “forecasts,” “plans,” “potential,” “future,” “believes,” “intends,” “continue,” “seeks,” and “targets,” and other words of similar meaning, derivations of such words, and the use of future dates. Such forward-looking statements include, but are not limited to, statements concerning the following:</w:t>
      </w:r>
    </w:p>
    <w:p>
      <w:pPr>
        <w:spacing w:after="0" w:line="23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concerning the timing and impact of our proposed acquisition of Egetis Therapeutics AB (“Egetis”);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close our proposed acquisition of Egetis on a timely basis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future operations, strategies and growth potential;</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our estimates of our expenses and capital requirements, and our expectations regarding our revenue potential (including revenue from licensing, royalties and sales) of our products;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sufficiency of our cash and other financial resources, our liquidity, and our ability to fund our operations, satisfy our debt obligations, and, if necessary, obtain additional financing;</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the timing and amount of any repurchases of our common stock under our share repurchase program;</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pipeline, including the structure, focus, success, cost and timing of our development activities, including nonclinical studies and clinical trials, and the reporting of data from those activities;</w:t>
      </w:r>
    </w:p>
    <w:p>
      <w:pPr>
        <w:ind w:left="660" w:right="2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timeframes for the submission of new drug applications, abbreviated new drug applications, or supplemental new drug applications to the U.S. Food and Drug Administration (the “FDA”);</w:t>
      </w:r>
    </w:p>
    <w:p>
      <w:pPr>
        <w:ind w:left="660" w:right="6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patient populations, market acceptance and clinical utility of our products and product candidates, if approved;</w:t>
      </w:r>
    </w:p>
    <w:p>
      <w:pPr>
        <w:ind w:left="660" w:right="3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our ability to comply with significant regulations with respect to the manufacture of our products or, where applicable, our reliance on third parties to do the same;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inventory expectations, and our and our partners’ ability to meet anticipated demand;</w:t>
      </w:r>
    </w:p>
    <w:p>
      <w:pPr>
        <w:spacing w:after="0" w:line="9" w:lineRule="exact"/>
        <w:rPr>
          <w:rFonts w:ascii="Times New Roman" w:cs="Times New Roman" w:eastAsia="Times New Roman" w:hAnsi="Times New Roman"/>
          <w:sz w:val="18"/>
          <w:szCs w:val="18"/>
          <w:color w:val="auto"/>
        </w:rPr>
      </w:pPr>
    </w:p>
    <w:p>
      <w:pPr>
        <w:ind w:left="660" w:right="40" w:hanging="328"/>
        <w:spacing w:after="0" w:line="265"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selling and marketing strategies and associated costs to support the sales of our branded products, including Purified Cortrophin® Gel (Repository Corticotropin Injection USP) (“Cortrophin Gel”), ILUVIEN® (“ILUVIEN”), and EMCITATE® if we complete our acquisition of Egetis;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initiatives, including acquisitions, strategic alliances and collaborations, such as our proposed acquisition of Egetis, and our ability to realize the intended benefits of such initiatives;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uncertainties regarding future pricing, coverage and reimbursement for our products;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or modified laws or regulations, and the application or implementation thereof, including the One Big Beautiful Bill Act, and tax, healthcare and pharmaceutical laws and regulations in the U.S. and foreign jurisdictions;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such as military conflict or war, inflation and financial institution instability, or the impact of global pandemics on our business, and the risks of fluctuations in foreign currency exchange rates.</w:t>
      </w:r>
    </w:p>
    <w:p>
      <w:pPr>
        <w:spacing w:after="0" w:line="2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are based on the reasonable beliefs of our management as well as assumptions made by and information currently available to our management. Forward-looking statements are inherently subject to known and unknown risks, uncertainties and other factors, some of which cannot be predicted or quantified, that may cause our actual results, performance or achievements to be materially different from any future results, performance or achievements expressed or implied by these forward-looking statements. Factors that might cause such a difference include, but are not limited to, those discussed under Part I, Item 1A, “Risk Factors” in our Annual Report on Form 10-K for the fiscal year ended December 31, 2025, as filed with the United States (“U.S.”) Securities and Exchange Commission (the “SEC”) on February 27, 2026 and elsewhere in this Quarterly Report on Form 10-Q.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use our investor relations website as a distribution channel of material company information. Financial and other important information regarding the Company is routinely posted on and accessible through our investor relations website. We encourage investors and others interested in our Company to review the information we post on our investor relations website in addition to our filings with the SEC, press releases, public conference calls and webcasts. Information contained on the Company’s website is not included as part of, or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56"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56"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ANI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1"/>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420,758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285,585</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304,450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281,082</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136,411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143,067</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25,577</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34,216</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equity securities</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9,131</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902,821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753,117</w:t>
            </w:r>
          </w:p>
        </w:tc>
        <w:tc>
          <w:tcPr>
            <w:tcW w:w="0" w:type="dxa"/>
            <w:vAlign w:val="bottom"/>
          </w:tcPr>
          <w:p>
            <w:pPr>
              <w:spacing w:after="0"/>
              <w:rPr>
                <w:sz w:val="1"/>
                <w:szCs w:val="1"/>
                <w:color w:val="auto"/>
              </w:rPr>
            </w:pPr>
          </w:p>
        </w:tc>
      </w:tr>
      <w:tr>
        <w:trPr>
          <w:trHeight w:val="17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81,552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62,476</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assets, net</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74,668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69,072</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 net</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433,109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479,526</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62,480</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13,706</w:t>
            </w:r>
          </w:p>
        </w:tc>
        <w:tc>
          <w:tcPr>
            <w:tcW w:w="0" w:type="dxa"/>
            <w:vAlign w:val="bottom"/>
          </w:tcPr>
          <w:p>
            <w:pPr>
              <w:spacing w:after="0"/>
              <w:rPr>
                <w:sz w:val="1"/>
                <w:szCs w:val="1"/>
                <w:color w:val="auto"/>
              </w:rPr>
            </w:pPr>
          </w:p>
        </w:tc>
      </w:tr>
      <w:tr>
        <w:trPr>
          <w:trHeight w:val="209"/>
        </w:trPr>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1,567,661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1,440,377</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62,583</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royalties</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66,054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48,497</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37,897</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government rebates</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56,635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43,154</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Returned goods reserve</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45,648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49,504</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16,970</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debt, net</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17,268</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328,717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278,112</w:t>
            </w:r>
          </w:p>
        </w:tc>
        <w:tc>
          <w:tcPr>
            <w:tcW w:w="0" w:type="dxa"/>
            <w:vAlign w:val="bottom"/>
          </w:tcPr>
          <w:p>
            <w:pPr>
              <w:spacing w:after="0"/>
              <w:rPr>
                <w:sz w:val="1"/>
                <w:szCs w:val="1"/>
                <w:color w:val="auto"/>
              </w:rPr>
            </w:pPr>
          </w:p>
        </w:tc>
      </w:tr>
      <w:tr>
        <w:trPr>
          <w:trHeight w:val="17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net</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274,314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291,840</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Convertible notes, net</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309,556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307,927</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9,610</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12,164</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930,548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899,653</w:t>
            </w:r>
          </w:p>
        </w:tc>
        <w:tc>
          <w:tcPr>
            <w:tcW w:w="0" w:type="dxa"/>
            <w:vAlign w:val="bottom"/>
          </w:tcPr>
          <w:p>
            <w:pPr>
              <w:spacing w:after="0"/>
              <w:rPr>
                <w:sz w:val="1"/>
                <w:szCs w:val="1"/>
                <w:color w:val="auto"/>
              </w:rPr>
            </w:pPr>
          </w:p>
        </w:tc>
      </w:tr>
      <w:tr>
        <w:trPr>
          <w:trHeight w:val="17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6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Common Stock, $0.0001 par value, 66,000,000 shares authorized; 23,897,035 shares issued and 22,890,380 shares outstanding</w:t>
            </w:r>
          </w:p>
        </w:tc>
        <w:tc>
          <w:tcPr>
            <w:tcW w:w="2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at September 30, 2026; 23,112,577 shares issued and 22,491,281 shares outstanding at December 31, 2025</w:t>
            </w: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Class C Special Stock, $0.0001 par value, 781,281 shares authorized; 10,864 shares issued and outstanding at September 30,</w:t>
            </w:r>
          </w:p>
        </w:tc>
        <w:tc>
          <w:tcPr>
            <w:tcW w:w="28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 and December 31, 2025, respectively</w:t>
            </w:r>
          </w:p>
        </w:tc>
        <w:tc>
          <w:tcPr>
            <w:tcW w:w="280" w:type="dxa"/>
            <w:vAlign w:val="bottom"/>
            <w:shd w:val="clear" w:color="auto" w:fill="CCEEFF"/>
          </w:tcPr>
          <w:p>
            <w:pPr>
              <w:spacing w:after="0"/>
              <w:rPr>
                <w:sz w:val="17"/>
                <w:szCs w:val="17"/>
                <w:color w:val="auto"/>
              </w:rPr>
            </w:pPr>
          </w:p>
        </w:tc>
        <w:tc>
          <w:tcPr>
            <w:tcW w:w="1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6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Preferred Stock, $0.0001 par value, 1,666,667 shares authorized; 0 shares issued and outstanding at September 30, 2026 and</w:t>
            </w:r>
          </w:p>
        </w:tc>
        <w:tc>
          <w:tcPr>
            <w:tcW w:w="280" w:type="dxa"/>
            <w:vAlign w:val="bottom"/>
          </w:tcPr>
          <w:p>
            <w:pPr>
              <w:spacing w:after="0"/>
              <w:rPr>
                <w:sz w:val="13"/>
                <w:szCs w:val="13"/>
                <w:color w:val="auto"/>
              </w:rPr>
            </w:pPr>
          </w:p>
        </w:tc>
        <w:tc>
          <w:tcPr>
            <w:tcW w:w="1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December 31, 2025, respectively</w:t>
            </w:r>
          </w:p>
        </w:tc>
        <w:tc>
          <w:tcPr>
            <w:tcW w:w="2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Treasury stock, 1,006,655 shares of common stock, at cost, at September 30, 2026 and 621,296 shares of common stock, at cost,</w:t>
            </w:r>
          </w:p>
        </w:tc>
        <w:tc>
          <w:tcPr>
            <w:tcW w:w="2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(33,249)</w:t>
            </w:r>
          </w:p>
        </w:tc>
        <w:tc>
          <w:tcPr>
            <w:tcW w:w="0" w:type="dxa"/>
            <w:vAlign w:val="bottom"/>
          </w:tcPr>
          <w:p>
            <w:pPr>
              <w:spacing w:after="0"/>
              <w:rPr>
                <w:sz w:val="1"/>
                <w:szCs w:val="1"/>
                <w:color w:val="auto"/>
              </w:rPr>
            </w:pPr>
          </w:p>
        </w:tc>
      </w:tr>
      <w:tr>
        <w:trPr>
          <w:trHeight w:val="198"/>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December 31, 2025</w:t>
            </w:r>
          </w:p>
        </w:tc>
        <w:tc>
          <w:tcPr>
            <w:tcW w:w="2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634,239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596,036</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66,253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(23,099)</w:t>
            </w:r>
          </w:p>
        </w:tc>
        <w:tc>
          <w:tcPr>
            <w:tcW w:w="0" w:type="dxa"/>
            <w:vAlign w:val="bottom"/>
          </w:tcPr>
          <w:p>
            <w:pPr>
              <w:spacing w:after="0"/>
              <w:rPr>
                <w:sz w:val="1"/>
                <w:szCs w:val="1"/>
                <w:color w:val="auto"/>
              </w:rPr>
            </w:pPr>
          </w:p>
        </w:tc>
      </w:tr>
      <w:tr>
        <w:trPr>
          <w:trHeight w:val="192"/>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 income, net of tax</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24"/>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637,113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540,724</w:t>
            </w:r>
          </w:p>
        </w:tc>
        <w:tc>
          <w:tcPr>
            <w:tcW w:w="0" w:type="dxa"/>
            <w:vAlign w:val="bottom"/>
          </w:tcPr>
          <w:p>
            <w:pPr>
              <w:spacing w:after="0"/>
              <w:rPr>
                <w:sz w:val="1"/>
                <w:szCs w:val="1"/>
                <w:color w:val="auto"/>
              </w:rPr>
            </w:pPr>
          </w:p>
        </w:tc>
      </w:tr>
      <w:tr>
        <w:trPr>
          <w:trHeight w:val="209"/>
        </w:trPr>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1,567,661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1,440,377</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ANI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384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 w:type="dxa"/>
            <w:vAlign w:val="bottom"/>
          </w:tcPr>
          <w:p>
            <w:pPr>
              <w:spacing w:after="0"/>
              <w:rPr>
                <w:sz w:val="20"/>
                <w:szCs w:val="20"/>
                <w:color w:val="auto"/>
              </w:rPr>
            </w:pPr>
          </w:p>
        </w:tc>
        <w:tc>
          <w:tcPr>
            <w:tcW w:w="34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290,777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227,813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794,283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636,306</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305,271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241,041</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39,403</w:t>
            </w:r>
          </w:p>
        </w:tc>
        <w:tc>
          <w:tcPr>
            <w:tcW w:w="0" w:type="dxa"/>
            <w:vAlign w:val="bottom"/>
          </w:tcPr>
          <w:p>
            <w:pPr>
              <w:spacing w:after="0"/>
              <w:rPr>
                <w:sz w:val="1"/>
                <w:szCs w:val="1"/>
                <w:color w:val="auto"/>
              </w:rPr>
            </w:pPr>
          </w:p>
        </w:tc>
      </w:tr>
      <w:tr>
        <w:trPr>
          <w:trHeight w:val="243"/>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234,955</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68,804</w:t>
            </w:r>
          </w:p>
        </w:tc>
        <w:tc>
          <w:tcPr>
            <w:tcW w:w="0" w:type="dxa"/>
            <w:vAlign w:val="bottom"/>
          </w:tcPr>
          <w:p>
            <w:pPr>
              <w:spacing w:after="0"/>
              <w:rPr>
                <w:sz w:val="1"/>
                <w:szCs w:val="1"/>
                <w:color w:val="auto"/>
              </w:rPr>
            </w:pPr>
          </w:p>
        </w:tc>
      </w:tr>
      <w:tr>
        <w:trPr>
          <w:trHeight w:val="243"/>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1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 net</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238,404</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191,573</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662,562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559,980</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76,326</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(loss) gain on investment in equity</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43"/>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64,312</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Dividends on Series A Convertible Preferred</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Net Income Available to Common</w:t>
            </w:r>
          </w:p>
        </w:tc>
        <w:tc>
          <w:tcPr>
            <w:tcW w:w="1140" w:type="dxa"/>
            <w:vAlign w:val="bottom"/>
            <w:vMerge w:val="restart"/>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8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26,273</w:t>
            </w:r>
          </w:p>
        </w:tc>
        <w:tc>
          <w:tcPr>
            <w:tcW w:w="8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89,352</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49,690</w:t>
            </w:r>
          </w:p>
        </w:tc>
        <w:tc>
          <w:tcPr>
            <w:tcW w:w="0" w:type="dxa"/>
            <w:vAlign w:val="bottom"/>
          </w:tcPr>
          <w:p>
            <w:pPr>
              <w:spacing w:after="0"/>
              <w:rPr>
                <w:sz w:val="1"/>
                <w:szCs w:val="1"/>
                <w:color w:val="auto"/>
              </w:rPr>
            </w:pPr>
          </w:p>
        </w:tc>
      </w:tr>
      <w:tr>
        <w:trPr>
          <w:trHeight w:val="227"/>
        </w:trPr>
        <w:tc>
          <w:tcPr>
            <w:tcW w:w="3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Shareholders</w:t>
            </w: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Income Per Share:</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21,675</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21,093</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21,598</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20,911</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41"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ANI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72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3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3"/>
        </w:trPr>
        <w:tc>
          <w:tcPr>
            <w:tcW w:w="38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50,847</w:t>
            </w:r>
          </w:p>
        </w:tc>
      </w:tr>
      <w:tr>
        <w:trPr>
          <w:trHeight w:val="270"/>
        </w:trPr>
        <w:tc>
          <w:tcPr>
            <w:tcW w:w="3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3"/>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4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1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37"/>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62"/>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48,314</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ANI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Equity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4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0" w:type="dxa"/>
            <w:vAlign w:val="bottom"/>
          </w:tcPr>
          <w:p>
            <w:pPr>
              <w:spacing w:after="0"/>
              <w:rPr>
                <w:sz w:val="11"/>
                <w:szCs w:val="11"/>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40" w:type="dxa"/>
            <w:vAlign w:val="bottom"/>
          </w:tcPr>
          <w:p>
            <w:pPr>
              <w:spacing w:after="0"/>
              <w:rPr>
                <w:sz w:val="11"/>
                <w:szCs w:val="11"/>
                <w:color w:val="auto"/>
              </w:rPr>
            </w:pPr>
          </w:p>
        </w:tc>
        <w:tc>
          <w:tcPr>
            <w:tcW w:w="660" w:type="dxa"/>
            <w:vAlign w:val="bottom"/>
            <w:vMerge w:val="restart"/>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left="1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6"/>
            <w:vMerge w:val="continue"/>
          </w:tcPr>
          <w:p>
            <w:pPr>
              <w:spacing w:after="0"/>
              <w:rPr>
                <w:sz w:val="10"/>
                <w:szCs w:val="10"/>
                <w:color w:val="auto"/>
              </w:rPr>
            </w:pPr>
          </w:p>
        </w:tc>
        <w:tc>
          <w:tcPr>
            <w:tcW w:w="84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5"/>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6"/>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1"/>
                <w:szCs w:val="11"/>
                <w:color w:val="auto"/>
              </w:rPr>
            </w:pPr>
          </w:p>
        </w:tc>
        <w:tc>
          <w:tcPr>
            <w:tcW w:w="680" w:type="dxa"/>
            <w:vAlign w:val="bottom"/>
            <w:gridSpan w:val="4"/>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1"/>
                <w:szCs w:val="11"/>
                <w:color w:val="auto"/>
              </w:rPr>
            </w:pPr>
          </w:p>
        </w:tc>
        <w:tc>
          <w:tcPr>
            <w:tcW w:w="7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Special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40" w:type="dxa"/>
            <w:vAlign w:val="bottom"/>
          </w:tcPr>
          <w:p>
            <w:pPr>
              <w:spacing w:after="0"/>
              <w:rPr>
                <w:sz w:val="11"/>
                <w:szCs w:val="11"/>
                <w:color w:val="auto"/>
              </w:rPr>
            </w:pPr>
          </w:p>
        </w:tc>
        <w:tc>
          <w:tcPr>
            <w:tcW w:w="660" w:type="dxa"/>
            <w:vAlign w:val="bottom"/>
          </w:tcPr>
          <w:p>
            <w:pPr>
              <w:jc w:val="center"/>
              <w:ind w:lef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4"/>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 (Loss),</w:t>
            </w:r>
          </w:p>
        </w:tc>
        <w:tc>
          <w:tcPr>
            <w:tcW w:w="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Net of Tax</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1"/>
        </w:trPr>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2026</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right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23,853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620,249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892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(53,817)</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(327)</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31,104</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597,212</w:t>
            </w:r>
          </w:p>
        </w:tc>
        <w:tc>
          <w:tcPr>
            <w:tcW w:w="0" w:type="dxa"/>
            <w:vAlign w:val="bottom"/>
          </w:tcPr>
          <w:p>
            <w:pPr>
              <w:spacing w:after="0"/>
              <w:rPr>
                <w:sz w:val="1"/>
                <w:szCs w:val="1"/>
                <w:color w:val="auto"/>
              </w:rPr>
            </w:pPr>
          </w:p>
        </w:tc>
      </w:tr>
      <w:tr>
        <w:trPr>
          <w:trHeight w:val="181"/>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11,767</w:t>
            </w:r>
          </w:p>
        </w:tc>
        <w:tc>
          <w:tcPr>
            <w:tcW w:w="0" w:type="dxa"/>
            <w:vAlign w:val="bottom"/>
          </w:tcPr>
          <w:p>
            <w:pPr>
              <w:spacing w:after="0"/>
              <w:rPr>
                <w:sz w:val="1"/>
                <w:szCs w:val="1"/>
                <w:color w:val="auto"/>
              </w:rPr>
            </w:pPr>
          </w:p>
        </w:tc>
      </w:tr>
      <w:tr>
        <w:trPr>
          <w:trHeight w:val="152"/>
        </w:trPr>
        <w:tc>
          <w:tcPr>
            <w:tcW w:w="31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Stock Purchases for Restricted Stock</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Vests</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13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(924)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0" w:type="dxa"/>
            <w:vAlign w:val="bottom"/>
          </w:tcPr>
          <w:p>
            <w:pPr>
              <w:spacing w:after="0"/>
              <w:rPr>
                <w:sz w:val="1"/>
                <w:szCs w:val="1"/>
                <w:color w:val="auto"/>
              </w:rPr>
            </w:pPr>
          </w:p>
        </w:tc>
      </w:tr>
      <w:tr>
        <w:trPr>
          <w:trHeight w:val="144"/>
        </w:trPr>
        <w:tc>
          <w:tcPr>
            <w:tcW w:w="3120" w:type="dxa"/>
            <w:vAlign w:val="bottom"/>
            <w:gridSpan w:val="8"/>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Common Shares upon Stock Option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and ESPP Exercise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w:t>
            </w:r>
          </w:p>
        </w:tc>
        <w:tc>
          <w:tcPr>
            <w:tcW w:w="0" w:type="dxa"/>
            <w:vAlign w:val="bottom"/>
          </w:tcPr>
          <w:p>
            <w:pPr>
              <w:spacing w:after="0"/>
              <w:rPr>
                <w:sz w:val="1"/>
                <w:szCs w:val="1"/>
                <w:color w:val="auto"/>
              </w:rPr>
            </w:pPr>
          </w:p>
        </w:tc>
      </w:tr>
      <w:tr>
        <w:trPr>
          <w:trHeight w:val="197"/>
        </w:trPr>
        <w:tc>
          <w:tcPr>
            <w:tcW w:w="2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 Awards</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Restricted Stock Awards Forfeitures</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2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(7,471)</w:t>
            </w:r>
          </w:p>
        </w:tc>
        <w:tc>
          <w:tcPr>
            <w:tcW w:w="0" w:type="dxa"/>
            <w:vAlign w:val="bottom"/>
          </w:tcPr>
          <w:p>
            <w:pPr>
              <w:spacing w:after="0"/>
              <w:rPr>
                <w:sz w:val="1"/>
                <w:szCs w:val="1"/>
                <w:color w:val="auto"/>
              </w:rPr>
            </w:pPr>
          </w:p>
        </w:tc>
      </w:tr>
      <w:tr>
        <w:trPr>
          <w:trHeight w:val="181"/>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2"/>
              </w:rPr>
              <w:t>(843)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0" w:type="dxa"/>
            <w:vAlign w:val="bottom"/>
          </w:tcPr>
          <w:p>
            <w:pPr>
              <w:spacing w:after="0"/>
              <w:rPr>
                <w:sz w:val="1"/>
                <w:szCs w:val="1"/>
                <w:color w:val="auto"/>
              </w:rPr>
            </w:pPr>
          </w:p>
        </w:tc>
      </w:tr>
      <w:tr>
        <w:trPr>
          <w:trHeight w:val="19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right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35,149</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35,149</w:t>
            </w:r>
          </w:p>
        </w:tc>
        <w:tc>
          <w:tcPr>
            <w:tcW w:w="0" w:type="dxa"/>
            <w:vAlign w:val="bottom"/>
          </w:tcPr>
          <w:p>
            <w:pPr>
              <w:spacing w:after="0"/>
              <w:rPr>
                <w:sz w:val="1"/>
                <w:szCs w:val="1"/>
                <w:color w:val="auto"/>
              </w:rPr>
            </w:pPr>
          </w:p>
        </w:tc>
      </w:tr>
      <w:tr>
        <w:trPr>
          <w:trHeight w:val="189"/>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Balance, September 30, 2026</w:t>
            </w:r>
          </w:p>
        </w:tc>
        <w:tc>
          <w:tcPr>
            <w:tcW w:w="86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23,897</w:t>
            </w:r>
          </w:p>
        </w:tc>
        <w:tc>
          <w:tcPr>
            <w:tcW w:w="80" w:type="dxa"/>
            <w:vAlign w:val="bottom"/>
          </w:tcPr>
          <w:p>
            <w:pPr>
              <w:spacing w:after="0"/>
              <w:rPr>
                <w:sz w:val="16"/>
                <w:szCs w:val="16"/>
                <w:color w:val="auto"/>
              </w:rPr>
            </w:pPr>
          </w:p>
        </w:tc>
        <w:tc>
          <w:tcPr>
            <w:tcW w:w="2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420" w:type="dxa"/>
            <w:vAlign w:val="bottom"/>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634,239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1,007</w:t>
            </w: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(62,212)</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66,253</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637,113</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Mezzanine</w:t>
            </w:r>
          </w:p>
        </w:tc>
        <w:tc>
          <w:tcPr>
            <w:tcW w:w="960" w:type="dxa"/>
            <w:vAlign w:val="bottom"/>
            <w:tcBorders>
              <w:right w:val="single" w:sz="8" w:color="auto"/>
            </w:tcBorders>
            <w:gridSpan w:val="3"/>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Mezzanine</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960" w:type="dxa"/>
            <w:vAlign w:val="bottom"/>
            <w:tcBorders>
              <w:right w:val="single" w:sz="8" w:color="auto"/>
            </w:tcBorders>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960" w:type="dxa"/>
            <w:vAlign w:val="bottom"/>
            <w:tcBorders>
              <w:right w:val="single" w:sz="8" w:color="auto"/>
            </w:tcBorders>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Total Mezzanine</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960" w:type="dxa"/>
            <w:vAlign w:val="bottom"/>
            <w:tcBorders>
              <w:right w:val="single" w:sz="8" w:color="auto"/>
            </w:tcBorders>
            <w:gridSpan w:val="3"/>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Convertible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960" w:type="dxa"/>
            <w:vAlign w:val="bottom"/>
            <w:tcBorders>
              <w:right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60" w:type="dxa"/>
            <w:vAlign w:val="bottom"/>
          </w:tcPr>
          <w:p>
            <w:pPr>
              <w:spacing w:after="0"/>
              <w:rPr>
                <w:sz w:val="11"/>
                <w:szCs w:val="11"/>
                <w:color w:val="auto"/>
              </w:rPr>
            </w:pPr>
          </w:p>
        </w:tc>
        <w:tc>
          <w:tcPr>
            <w:tcW w:w="72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1"/>
                <w:szCs w:val="11"/>
                <w:color w:val="auto"/>
              </w:rPr>
            </w:pPr>
          </w:p>
        </w:tc>
        <w:tc>
          <w:tcPr>
            <w:tcW w:w="680" w:type="dxa"/>
            <w:vAlign w:val="bottom"/>
            <w:gridSpan w:val="5"/>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C</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and</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960" w:type="dxa"/>
            <w:vAlign w:val="bottom"/>
            <w:tcBorders>
              <w:right w:val="single" w:sz="8" w:color="auto"/>
            </w:tcBorders>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0"/>
                <w:szCs w:val="10"/>
                <w:color w:val="auto"/>
              </w:rPr>
            </w:pPr>
          </w:p>
        </w:tc>
        <w:tc>
          <w:tcPr>
            <w:tcW w:w="560" w:type="dxa"/>
            <w:vAlign w:val="bottom"/>
            <w:gridSpan w:val="3"/>
          </w:tcPr>
          <w:p>
            <w:pPr>
              <w:jc w:val="center"/>
              <w:ind w:left="157"/>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left="177"/>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5"/>
          </w:tcPr>
          <w:p>
            <w:pPr>
              <w:jc w:val="center"/>
              <w:ind w:right="40"/>
              <w:spacing w:after="0" w:line="122" w:lineRule="exact"/>
              <w:rPr>
                <w:sz w:val="20"/>
                <w:szCs w:val="20"/>
                <w:color w:val="auto"/>
              </w:rPr>
            </w:pPr>
            <w:r>
              <w:rPr>
                <w:rFonts w:ascii="Times New Roman" w:cs="Times New Roman" w:eastAsia="Times New Roman" w:hAnsi="Times New Roman"/>
                <w:sz w:val="13"/>
                <w:szCs w:val="13"/>
                <w:b w:val="1"/>
                <w:bCs w:val="1"/>
                <w:color w:val="auto"/>
              </w:rPr>
              <w:t>Special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Income,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77"/>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96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Par Value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0" w:type="dxa"/>
            <w:vAlign w:val="bottom"/>
          </w:tcPr>
          <w:p>
            <w:pPr>
              <w:spacing w:after="0"/>
              <w:rPr>
                <w:sz w:val="14"/>
                <w:szCs w:val="14"/>
                <w:color w:val="auto"/>
              </w:rPr>
            </w:pPr>
          </w:p>
        </w:tc>
        <w:tc>
          <w:tcPr>
            <w:tcW w:w="68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Net of Tax</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11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w:t>
            </w: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24,850</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22,322</w:t>
            </w:r>
          </w:p>
        </w:tc>
        <w:tc>
          <w:tcPr>
            <w:tcW w:w="500" w:type="dxa"/>
            <w:vAlign w:val="bottom"/>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541,899</w:t>
            </w:r>
          </w:p>
        </w:tc>
        <w:tc>
          <w:tcPr>
            <w:tcW w:w="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(31,594)</w:t>
            </w:r>
          </w:p>
        </w:tc>
        <w:tc>
          <w:tcPr>
            <w:tcW w:w="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3,312</w:t>
            </w:r>
          </w:p>
        </w:tc>
        <w:tc>
          <w:tcPr>
            <w:tcW w:w="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(76,862)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461,607</w:t>
            </w:r>
          </w:p>
        </w:tc>
        <w:tc>
          <w:tcPr>
            <w:tcW w:w="0" w:type="dxa"/>
            <w:vAlign w:val="bottom"/>
          </w:tcPr>
          <w:p>
            <w:pPr>
              <w:spacing w:after="0"/>
              <w:rPr>
                <w:sz w:val="1"/>
                <w:szCs w:val="1"/>
                <w:color w:val="auto"/>
              </w:rPr>
            </w:pPr>
          </w:p>
        </w:tc>
      </w:tr>
      <w:tr>
        <w:trPr>
          <w:trHeight w:val="124"/>
        </w:trPr>
        <w:tc>
          <w:tcPr>
            <w:tcW w:w="1160" w:type="dxa"/>
            <w:vAlign w:val="bottom"/>
          </w:tcPr>
          <w:p>
            <w:pPr>
              <w:ind w:left="20"/>
              <w:spacing w:after="0" w:line="124" w:lineRule="exact"/>
              <w:rPr>
                <w:sz w:val="20"/>
                <w:szCs w:val="20"/>
                <w:color w:val="auto"/>
              </w:rPr>
            </w:pPr>
            <w:r>
              <w:rPr>
                <w:rFonts w:ascii="Times New Roman" w:cs="Times New Roman" w:eastAsia="Times New Roman" w:hAnsi="Times New Roman"/>
                <w:sz w:val="13"/>
                <w:szCs w:val="13"/>
                <w:color w:val="auto"/>
              </w:rPr>
              <w:t>Stock-based</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Compensation</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0"/>
                <w:szCs w:val="10"/>
                <w:color w:val="auto"/>
              </w:rPr>
            </w:pPr>
          </w:p>
        </w:tc>
        <w:tc>
          <w:tcPr>
            <w:tcW w:w="46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9,691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9,691</w:t>
            </w:r>
          </w:p>
        </w:tc>
        <w:tc>
          <w:tcPr>
            <w:tcW w:w="0" w:type="dxa"/>
            <w:vAlign w:val="bottom"/>
          </w:tcPr>
          <w:p>
            <w:pPr>
              <w:spacing w:after="0"/>
              <w:rPr>
                <w:sz w:val="1"/>
                <w:szCs w:val="1"/>
                <w:color w:val="auto"/>
              </w:rPr>
            </w:pPr>
          </w:p>
        </w:tc>
      </w:tr>
      <w:tr>
        <w:trPr>
          <w:trHeight w:val="170"/>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Expense</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Purchases for</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Restricted Stock</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0"/>
                <w:szCs w:val="10"/>
                <w:color w:val="auto"/>
              </w:rPr>
            </w:pPr>
          </w:p>
        </w:tc>
        <w:tc>
          <w:tcPr>
            <w:tcW w:w="46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Vests</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gridSpan w:val="4"/>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1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6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Shares upon Stock</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Option and ESPP</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0"/>
                <w:szCs w:val="10"/>
                <w:color w:val="auto"/>
              </w:rPr>
            </w:pPr>
          </w:p>
        </w:tc>
        <w:tc>
          <w:tcPr>
            <w:tcW w:w="46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w w:val="92"/>
              </w:rPr>
              <w:t>152</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9,790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9,790</w:t>
            </w:r>
          </w:p>
        </w:tc>
        <w:tc>
          <w:tcPr>
            <w:tcW w:w="0" w:type="dxa"/>
            <w:vAlign w:val="bottom"/>
          </w:tcPr>
          <w:p>
            <w:pPr>
              <w:spacing w:after="0"/>
              <w:rPr>
                <w:sz w:val="1"/>
                <w:szCs w:val="1"/>
                <w:color w:val="auto"/>
              </w:rPr>
            </w:pPr>
          </w:p>
        </w:tc>
      </w:tr>
      <w:tr>
        <w:trPr>
          <w:trHeight w:val="170"/>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Issuance of Restricted</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Awards</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5"/>
                <w:szCs w:val="15"/>
                <w:color w:val="auto"/>
              </w:rPr>
            </w:pPr>
          </w:p>
        </w:tc>
        <w:tc>
          <w:tcPr>
            <w:tcW w:w="4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11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Restricted Stock</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Awards Forfeitures</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4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82"/>
              </w:rPr>
              <w:t>(37)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 of Series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A Convertible</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(24,850)</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603</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24,850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gridSpan w:val="4"/>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1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Dividends on Series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6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A Convertible</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0"/>
                <w:szCs w:val="10"/>
                <w:color w:val="auto"/>
              </w:rPr>
            </w:pPr>
          </w:p>
        </w:tc>
        <w:tc>
          <w:tcPr>
            <w:tcW w:w="46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170"/>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Other Comprehensive</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5"/>
                <w:szCs w:val="15"/>
                <w:color w:val="auto"/>
              </w:rPr>
            </w:pPr>
          </w:p>
        </w:tc>
        <w:tc>
          <w:tcPr>
            <w:tcW w:w="4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0" w:type="dxa"/>
            <w:vAlign w:val="bottom"/>
          </w:tcPr>
          <w:p>
            <w:pPr>
              <w:spacing w:after="0"/>
              <w:rPr>
                <w:sz w:val="1"/>
                <w:szCs w:val="1"/>
                <w:color w:val="auto"/>
              </w:rPr>
            </w:pPr>
          </w:p>
        </w:tc>
      </w:tr>
      <w:tr>
        <w:trPr>
          <w:trHeight w:val="183"/>
        </w:trPr>
        <w:tc>
          <w:tcPr>
            <w:tcW w:w="1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26,617</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26,617</w:t>
            </w:r>
          </w:p>
        </w:tc>
        <w:tc>
          <w:tcPr>
            <w:tcW w:w="0" w:type="dxa"/>
            <w:vAlign w:val="bottom"/>
          </w:tcPr>
          <w:p>
            <w:pPr>
              <w:spacing w:after="0"/>
              <w:rPr>
                <w:sz w:val="1"/>
                <w:szCs w:val="1"/>
                <w:color w:val="auto"/>
              </w:rPr>
            </w:pPr>
          </w:p>
        </w:tc>
      </w:tr>
      <w:tr>
        <w:trPr>
          <w:trHeight w:val="130"/>
        </w:trPr>
        <w:tc>
          <w:tcPr>
            <w:tcW w:w="11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Balance, September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90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23,076</w:t>
            </w:r>
          </w:p>
        </w:tc>
        <w:tc>
          <w:tcPr>
            <w:tcW w:w="500" w:type="dxa"/>
            <w:vAlign w:val="bottom"/>
            <w:gridSpan w:val="2"/>
            <w:vMerge w:val="restart"/>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586,230</w:t>
            </w:r>
          </w:p>
        </w:tc>
        <w:tc>
          <w:tcPr>
            <w:tcW w:w="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20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(32,638)</w:t>
            </w:r>
          </w:p>
        </w:tc>
        <w:tc>
          <w:tcPr>
            <w:tcW w:w="3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w:t>
            </w:r>
          </w:p>
        </w:tc>
        <w:tc>
          <w:tcPr>
            <w:tcW w:w="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(50,589)</w:t>
            </w:r>
          </w:p>
        </w:tc>
        <w:tc>
          <w:tcPr>
            <w:tcW w:w="20" w:type="dxa"/>
            <w:vAlign w:val="bottom"/>
            <w:shd w:val="clear" w:color="auto" w:fill="CCEEFF"/>
          </w:tcPr>
          <w:p>
            <w:pPr>
              <w:spacing w:after="0"/>
              <w:rPr>
                <w:sz w:val="11"/>
                <w:szCs w:val="11"/>
                <w:color w:val="auto"/>
              </w:rPr>
            </w:pP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505,817</w:t>
            </w:r>
          </w:p>
        </w:tc>
        <w:tc>
          <w:tcPr>
            <w:tcW w:w="0" w:type="dxa"/>
            <w:vAlign w:val="bottom"/>
          </w:tcPr>
          <w:p>
            <w:pPr>
              <w:spacing w:after="0"/>
              <w:rPr>
                <w:sz w:val="1"/>
                <w:szCs w:val="1"/>
                <w:color w:val="auto"/>
              </w:rPr>
            </w:pPr>
          </w:p>
        </w:tc>
      </w:tr>
      <w:tr>
        <w:trPr>
          <w:trHeight w:val="173"/>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30, 2025</w:t>
            </w:r>
          </w:p>
        </w:tc>
        <w:tc>
          <w:tcPr>
            <w:tcW w:w="10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900" w:type="dxa"/>
            <w:vAlign w:val="bottom"/>
            <w:gridSpan w:val="6"/>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260" w:type="dxa"/>
            <w:vAlign w:val="bottom"/>
            <w:gridSpan w:val="4"/>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0" w:type="dxa"/>
            <w:vAlign w:val="bottom"/>
            <w:gridSpan w:val="4"/>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30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ANI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Equity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2"/>
                <w:szCs w:val="12"/>
                <w:color w:val="auto"/>
              </w:rPr>
            </w:pPr>
          </w:p>
        </w:tc>
        <w:tc>
          <w:tcPr>
            <w:tcW w:w="8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Class C</w:t>
            </w:r>
          </w:p>
        </w:tc>
        <w:tc>
          <w:tcPr>
            <w:tcW w:w="8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5"/>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Special</w:t>
            </w:r>
          </w:p>
        </w:tc>
        <w:tc>
          <w:tcPr>
            <w:tcW w:w="80" w:type="dxa"/>
            <w:vAlign w:val="bottom"/>
          </w:tcPr>
          <w:p>
            <w:pPr>
              <w:spacing w:after="0"/>
              <w:rPr>
                <w:sz w:val="10"/>
                <w:szCs w:val="10"/>
                <w:color w:val="auto"/>
              </w:rPr>
            </w:pPr>
          </w:p>
        </w:tc>
        <w:tc>
          <w:tcPr>
            <w:tcW w:w="58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center"/>
              <w:ind w:left="177"/>
              <w:spacing w:after="0" w:line="122" w:lineRule="exact"/>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 (Loss),</w:t>
            </w:r>
          </w:p>
        </w:tc>
        <w:tc>
          <w:tcPr>
            <w:tcW w:w="20" w:type="dxa"/>
            <w:vAlign w:val="bottom"/>
          </w:tcPr>
          <w:p>
            <w:pPr>
              <w:spacing w:after="0"/>
              <w:rPr>
                <w:sz w:val="10"/>
                <w:szCs w:val="10"/>
                <w:color w:val="auto"/>
              </w:rPr>
            </w:pPr>
          </w:p>
        </w:tc>
        <w:tc>
          <w:tcPr>
            <w:tcW w:w="1060" w:type="dxa"/>
            <w:vAlign w:val="bottom"/>
            <w:gridSpan w:val="5"/>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Deficit) Retained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120" w:type="dxa"/>
            <w:vAlign w:val="bottom"/>
            <w:tcBorders>
              <w:bottom w:val="single" w:sz="8" w:color="CCEEFF"/>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Borders>
              <w:bottom w:val="single" w:sz="8" w:color="CCEEFF"/>
            </w:tcBorders>
            <w:gridSpan w:val="3"/>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3"/>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5"/>
              </w:rPr>
              <w:t>Net of Tax</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1"/>
        </w:trPr>
        <w:tc>
          <w:tcPr>
            <w:tcW w:w="2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2025</w:t>
            </w: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23,113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3"/>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4"/>
              </w:rPr>
              <w:t>596,036</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w w:val="98"/>
              </w:rPr>
              <w:t>(33,249)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540,724</w:t>
            </w:r>
          </w:p>
        </w:tc>
        <w:tc>
          <w:tcPr>
            <w:tcW w:w="0" w:type="dxa"/>
            <w:vAlign w:val="bottom"/>
          </w:tcPr>
          <w:p>
            <w:pPr>
              <w:spacing w:after="0"/>
              <w:rPr>
                <w:sz w:val="1"/>
                <w:szCs w:val="1"/>
                <w:color w:val="auto"/>
              </w:rPr>
            </w:pPr>
          </w:p>
        </w:tc>
      </w:tr>
      <w:tr>
        <w:trPr>
          <w:trHeight w:val="181"/>
        </w:trPr>
        <w:tc>
          <w:tcPr>
            <w:tcW w:w="23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33,470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33,470</w:t>
            </w:r>
          </w:p>
        </w:tc>
        <w:tc>
          <w:tcPr>
            <w:tcW w:w="0" w:type="dxa"/>
            <w:vAlign w:val="bottom"/>
          </w:tcPr>
          <w:p>
            <w:pPr>
              <w:spacing w:after="0"/>
              <w:rPr>
                <w:sz w:val="1"/>
                <w:szCs w:val="1"/>
                <w:color w:val="auto"/>
              </w:rPr>
            </w:pPr>
          </w:p>
        </w:tc>
      </w:tr>
      <w:tr>
        <w:trPr>
          <w:trHeight w:val="152"/>
        </w:trPr>
        <w:tc>
          <w:tcPr>
            <w:tcW w:w="2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Stock Purchases for Restricted</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Vests</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w w:val="98"/>
              </w:rPr>
              <w:t>(21,492)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(21,492)</w:t>
            </w:r>
          </w:p>
        </w:tc>
        <w:tc>
          <w:tcPr>
            <w:tcW w:w="0" w:type="dxa"/>
            <w:vAlign w:val="bottom"/>
          </w:tcPr>
          <w:p>
            <w:pPr>
              <w:spacing w:after="0"/>
              <w:rPr>
                <w:sz w:val="1"/>
                <w:szCs w:val="1"/>
                <w:color w:val="auto"/>
              </w:rPr>
            </w:pPr>
          </w:p>
        </w:tc>
      </w:tr>
      <w:tr>
        <w:trPr>
          <w:trHeight w:val="144"/>
        </w:trPr>
        <w:tc>
          <w:tcPr>
            <w:tcW w:w="2340" w:type="dxa"/>
            <w:vAlign w:val="bottom"/>
            <w:gridSpan w:val="5"/>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Common Shares upon Stock</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6"/>
              </w:rPr>
              <w:t>Option and ESPP Exercise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4,733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4,733</w:t>
            </w:r>
          </w:p>
        </w:tc>
        <w:tc>
          <w:tcPr>
            <w:tcW w:w="0" w:type="dxa"/>
            <w:vAlign w:val="bottom"/>
          </w:tcPr>
          <w:p>
            <w:pPr>
              <w:spacing w:after="0"/>
              <w:rPr>
                <w:sz w:val="1"/>
                <w:szCs w:val="1"/>
                <w:color w:val="auto"/>
              </w:rPr>
            </w:pPr>
          </w:p>
        </w:tc>
      </w:tr>
      <w:tr>
        <w:trPr>
          <w:trHeight w:val="197"/>
        </w:trPr>
        <w:tc>
          <w:tcPr>
            <w:tcW w:w="2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 Awards</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3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Issuance of Performance Stock Units</w:t>
            </w:r>
          </w:p>
        </w:tc>
        <w:tc>
          <w:tcPr>
            <w:tcW w:w="8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2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 Units</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3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Restricted Stock Awards Forfeitures</w:t>
            </w:r>
          </w:p>
        </w:tc>
        <w:tc>
          <w:tcPr>
            <w:tcW w:w="8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2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(7,471)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(7,471)</w:t>
            </w:r>
          </w:p>
        </w:tc>
        <w:tc>
          <w:tcPr>
            <w:tcW w:w="0" w:type="dxa"/>
            <w:vAlign w:val="bottom"/>
          </w:tcPr>
          <w:p>
            <w:pPr>
              <w:spacing w:after="0"/>
              <w:rPr>
                <w:sz w:val="1"/>
                <w:szCs w:val="1"/>
                <w:color w:val="auto"/>
              </w:rPr>
            </w:pPr>
          </w:p>
        </w:tc>
      </w:tr>
      <w:tr>
        <w:trPr>
          <w:trHeight w:val="18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Other Comprehensive Loss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0" w:type="dxa"/>
            <w:vAlign w:val="bottom"/>
          </w:tcPr>
          <w:p>
            <w:pPr>
              <w:spacing w:after="0"/>
              <w:rPr>
                <w:sz w:val="1"/>
                <w:szCs w:val="1"/>
                <w:color w:val="auto"/>
              </w:rPr>
            </w:pPr>
          </w:p>
        </w:tc>
      </w:tr>
      <w:tr>
        <w:trPr>
          <w:trHeight w:val="19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gridSpan w:val="2"/>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3"/>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89,352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89,352</w:t>
            </w:r>
          </w:p>
        </w:tc>
        <w:tc>
          <w:tcPr>
            <w:tcW w:w="0" w:type="dxa"/>
            <w:vAlign w:val="bottom"/>
          </w:tcPr>
          <w:p>
            <w:pPr>
              <w:spacing w:after="0"/>
              <w:rPr>
                <w:sz w:val="1"/>
                <w:szCs w:val="1"/>
                <w:color w:val="auto"/>
              </w:rPr>
            </w:pPr>
          </w:p>
        </w:tc>
      </w:tr>
      <w:tr>
        <w:trPr>
          <w:trHeight w:val="189"/>
        </w:trPr>
        <w:tc>
          <w:tcPr>
            <w:tcW w:w="23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Balance, September 30, 2026</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23,897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w w:val="94"/>
              </w:rPr>
              <w:t>634,239</w:t>
            </w: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(62,212)</w:t>
            </w:r>
          </w:p>
        </w:tc>
        <w:tc>
          <w:tcPr>
            <w:tcW w:w="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66,253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637,113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Mezzanine</w:t>
            </w:r>
          </w:p>
        </w:tc>
        <w:tc>
          <w:tcPr>
            <w:tcW w:w="80" w:type="dxa"/>
            <w:vAlign w:val="bottom"/>
          </w:tcPr>
          <w:p>
            <w:pPr>
              <w:spacing w:after="0"/>
              <w:rPr>
                <w:sz w:val="11"/>
                <w:szCs w:val="11"/>
                <w:color w:val="auto"/>
              </w:rPr>
            </w:pPr>
          </w:p>
        </w:tc>
        <w:tc>
          <w:tcPr>
            <w:tcW w:w="820" w:type="dxa"/>
            <w:vAlign w:val="bottom"/>
            <w:tcBorders>
              <w:right w:val="single" w:sz="8" w:color="auto"/>
            </w:tcBorders>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Mezzanine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820" w:type="dxa"/>
            <w:vAlign w:val="bottom"/>
            <w:tcBorders>
              <w:right w:val="single" w:sz="8" w:color="auto"/>
            </w:tcBorders>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 Mezzanine</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900" w:type="dxa"/>
            <w:vAlign w:val="bottom"/>
            <w:tcBorders>
              <w:right w:val="single" w:sz="8" w:color="auto"/>
            </w:tcBorders>
            <w:gridSpan w:val="4"/>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0"/>
                <w:szCs w:val="10"/>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C</w:t>
            </w:r>
          </w:p>
        </w:tc>
        <w:tc>
          <w:tcPr>
            <w:tcW w:w="94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74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80" w:type="dxa"/>
            <w:vAlign w:val="bottom"/>
          </w:tcPr>
          <w:p>
            <w:pPr>
              <w:spacing w:after="0"/>
              <w:rPr>
                <w:sz w:val="10"/>
                <w:szCs w:val="10"/>
                <w:color w:val="auto"/>
              </w:rPr>
            </w:pPr>
          </w:p>
        </w:tc>
        <w:tc>
          <w:tcPr>
            <w:tcW w:w="820" w:type="dxa"/>
            <w:vAlign w:val="bottom"/>
            <w:tcBorders>
              <w:right w:val="single" w:sz="8" w:color="auto"/>
            </w:tcBorders>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940" w:type="dxa"/>
            <w:vAlign w:val="bottom"/>
            <w:gridSpan w:val="6"/>
            <w:vMerge w:val="continue"/>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Equity and</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Preferred</w:t>
            </w:r>
          </w:p>
        </w:tc>
        <w:tc>
          <w:tcPr>
            <w:tcW w:w="80" w:type="dxa"/>
            <w:vAlign w:val="bottom"/>
          </w:tcPr>
          <w:p>
            <w:pPr>
              <w:spacing w:after="0"/>
              <w:rPr>
                <w:sz w:val="11"/>
                <w:szCs w:val="11"/>
                <w:color w:val="auto"/>
              </w:rPr>
            </w:pPr>
          </w:p>
        </w:tc>
        <w:tc>
          <w:tcPr>
            <w:tcW w:w="820" w:type="dxa"/>
            <w:vAlign w:val="bottom"/>
            <w:tcBorders>
              <w:right w:val="single" w:sz="8" w:color="auto"/>
            </w:tcBorders>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Special</w:t>
            </w:r>
          </w:p>
        </w:tc>
        <w:tc>
          <w:tcPr>
            <w:tcW w:w="160" w:type="dxa"/>
            <w:vAlign w:val="bottom"/>
          </w:tcPr>
          <w:p>
            <w:pPr>
              <w:spacing w:after="0"/>
              <w:rPr>
                <w:sz w:val="11"/>
                <w:szCs w:val="11"/>
                <w:color w:val="auto"/>
              </w:rPr>
            </w:pPr>
          </w:p>
        </w:tc>
        <w:tc>
          <w:tcPr>
            <w:tcW w:w="780" w:type="dxa"/>
            <w:vAlign w:val="bottom"/>
            <w:gridSpan w:val="5"/>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440" w:type="dxa"/>
            <w:vAlign w:val="bottom"/>
            <w:gridSpan w:val="3"/>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4"/>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Income,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4"/>
                <w:szCs w:val="14"/>
                <w:color w:val="auto"/>
              </w:rPr>
            </w:pPr>
          </w:p>
        </w:tc>
        <w:tc>
          <w:tcPr>
            <w:tcW w:w="820" w:type="dxa"/>
            <w:vAlign w:val="bottom"/>
            <w:tcBorders>
              <w:right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78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74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0" w:type="dxa"/>
            <w:vAlign w:val="bottom"/>
          </w:tcPr>
          <w:p>
            <w:pPr>
              <w:spacing w:after="0"/>
              <w:rPr>
                <w:sz w:val="14"/>
                <w:szCs w:val="14"/>
                <w:color w:val="auto"/>
              </w:rPr>
            </w:pPr>
          </w:p>
        </w:tc>
        <w:tc>
          <w:tcPr>
            <w:tcW w:w="4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Net of Tax</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0"/>
        </w:trPr>
        <w:tc>
          <w:tcPr>
            <w:tcW w:w="1380" w:type="dxa"/>
            <w:vAlign w:val="bottom"/>
            <w:tcBorders>
              <w:top w:val="single" w:sz="8" w:color="CCEEFF"/>
            </w:tcBorders>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Balance, December 31,</w:t>
            </w: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519,653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430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(21,040)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5,344</w:t>
            </w: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(100,279)</w:t>
            </w:r>
          </w:p>
        </w:tc>
        <w:tc>
          <w:tcPr>
            <w:tcW w:w="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428,530</w:t>
            </w:r>
          </w:p>
        </w:tc>
        <w:tc>
          <w:tcPr>
            <w:tcW w:w="0" w:type="dxa"/>
            <w:vAlign w:val="bottom"/>
          </w:tcPr>
          <w:p>
            <w:pPr>
              <w:spacing w:after="0"/>
              <w:rPr>
                <w:sz w:val="1"/>
                <w:szCs w:val="1"/>
                <w:color w:val="auto"/>
              </w:rPr>
            </w:pPr>
          </w:p>
        </w:tc>
      </w:tr>
      <w:tr>
        <w:trPr>
          <w:trHeight w:val="115"/>
        </w:trPr>
        <w:tc>
          <w:tcPr>
            <w:tcW w:w="13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Stock-based</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Expense</w:t>
            </w:r>
          </w:p>
        </w:tc>
        <w:tc>
          <w:tcPr>
            <w:tcW w:w="8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28,161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28,161</w:t>
            </w:r>
          </w:p>
        </w:tc>
        <w:tc>
          <w:tcPr>
            <w:tcW w:w="0" w:type="dxa"/>
            <w:vAlign w:val="bottom"/>
          </w:tcPr>
          <w:p>
            <w:pPr>
              <w:spacing w:after="0"/>
              <w:rPr>
                <w:sz w:val="1"/>
                <w:szCs w:val="1"/>
                <w:color w:val="auto"/>
              </w:rPr>
            </w:pPr>
          </w:p>
        </w:tc>
      </w:tr>
      <w:tr>
        <w:trPr>
          <w:trHeight w:val="143"/>
        </w:trPr>
        <w:tc>
          <w:tcPr>
            <w:tcW w:w="13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w w:val="99"/>
              </w:rPr>
              <w:t>Treasury Stock Purchases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for Restricted Stock Vests</w:t>
            </w:r>
          </w:p>
        </w:tc>
        <w:tc>
          <w:tcPr>
            <w:tcW w:w="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184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(11,598)</w:t>
            </w: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w w:val="98"/>
              </w:rPr>
              <w:t>Shares upon Stock Option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and ESPP Exercise</w:t>
            </w:r>
          </w:p>
        </w:tc>
        <w:tc>
          <w:tcPr>
            <w:tcW w:w="8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13,566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13,566</w:t>
            </w:r>
          </w:p>
        </w:tc>
        <w:tc>
          <w:tcPr>
            <w:tcW w:w="0" w:type="dxa"/>
            <w:vAlign w:val="bottom"/>
          </w:tcPr>
          <w:p>
            <w:pPr>
              <w:spacing w:after="0"/>
              <w:rPr>
                <w:sz w:val="1"/>
                <w:szCs w:val="1"/>
                <w:color w:val="auto"/>
              </w:rPr>
            </w:pPr>
          </w:p>
        </w:tc>
      </w:tr>
      <w:tr>
        <w:trPr>
          <w:trHeight w:val="143"/>
        </w:trPr>
        <w:tc>
          <w:tcPr>
            <w:tcW w:w="13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Restricted</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Awards</w:t>
            </w:r>
          </w:p>
        </w:tc>
        <w:tc>
          <w:tcPr>
            <w:tcW w:w="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Performance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Units</w:t>
            </w:r>
          </w:p>
        </w:tc>
        <w:tc>
          <w:tcPr>
            <w:tcW w:w="8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3"/>
        </w:trPr>
        <w:tc>
          <w:tcPr>
            <w:tcW w:w="13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Restricted Stock Awards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Forfeitures</w:t>
            </w:r>
          </w:p>
        </w:tc>
        <w:tc>
          <w:tcPr>
            <w:tcW w:w="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Conversion of Series A</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Convertible Preferred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24,850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3"/>
        </w:trPr>
        <w:tc>
          <w:tcPr>
            <w:tcW w:w="13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Dividends on Series 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Convertible Preferred</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(1,157)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Comprehensive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w:t>
            </w:r>
          </w:p>
        </w:tc>
        <w:tc>
          <w:tcPr>
            <w:tcW w:w="8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(2,533)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w:t>
            </w:r>
          </w:p>
        </w:tc>
        <w:tc>
          <w:tcPr>
            <w:tcW w:w="0" w:type="dxa"/>
            <w:vAlign w:val="bottom"/>
          </w:tcPr>
          <w:p>
            <w:pPr>
              <w:spacing w:after="0"/>
              <w:rPr>
                <w:sz w:val="1"/>
                <w:szCs w:val="1"/>
                <w:color w:val="auto"/>
              </w:rPr>
            </w:pPr>
          </w:p>
        </w:tc>
      </w:tr>
      <w:tr>
        <w:trPr>
          <w:trHeight w:val="197"/>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50,847</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50,847</w:t>
            </w:r>
          </w:p>
        </w:tc>
        <w:tc>
          <w:tcPr>
            <w:tcW w:w="0" w:type="dxa"/>
            <w:vAlign w:val="bottom"/>
          </w:tcPr>
          <w:p>
            <w:pPr>
              <w:spacing w:after="0"/>
              <w:rPr>
                <w:sz w:val="1"/>
                <w:szCs w:val="1"/>
                <w:color w:val="auto"/>
              </w:rPr>
            </w:pPr>
          </w:p>
        </w:tc>
      </w:tr>
      <w:tr>
        <w:trPr>
          <w:trHeight w:val="115"/>
        </w:trPr>
        <w:tc>
          <w:tcPr>
            <w:tcW w:w="13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September 30,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23,076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586,230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2"/>
              </w:rPr>
              <w:t>614</w:t>
            </w:r>
          </w:p>
        </w:tc>
        <w:tc>
          <w:tcPr>
            <w:tcW w:w="10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(32,638)</w:t>
            </w:r>
          </w:p>
        </w:tc>
        <w:tc>
          <w:tcPr>
            <w:tcW w:w="8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2,811</w:t>
            </w:r>
          </w:p>
        </w:tc>
        <w:tc>
          <w:tcPr>
            <w:tcW w:w="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(50,589)</w:t>
            </w:r>
          </w:p>
        </w:tc>
        <w:tc>
          <w:tcPr>
            <w:tcW w:w="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505,817</w:t>
            </w:r>
          </w:p>
        </w:tc>
        <w:tc>
          <w:tcPr>
            <w:tcW w:w="0" w:type="dxa"/>
            <w:vAlign w:val="bottom"/>
          </w:tcPr>
          <w:p>
            <w:pPr>
              <w:spacing w:after="0"/>
              <w:rPr>
                <w:sz w:val="1"/>
                <w:szCs w:val="1"/>
                <w:color w:val="auto"/>
              </w:rPr>
            </w:pPr>
          </w:p>
        </w:tc>
      </w:tr>
      <w:tr>
        <w:trPr>
          <w:trHeight w:val="202"/>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100" w:type="dxa"/>
            <w:vAlign w:val="bottom"/>
            <w:tcBorders>
              <w:right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gridSpan w:val="4"/>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ANI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unaudited)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00" w:type="dxa"/>
            <w:vAlign w:val="bottom"/>
          </w:tcPr>
          <w:p>
            <w:pPr>
              <w:spacing w:after="0"/>
              <w:rPr>
                <w:sz w:val="14"/>
                <w:szCs w:val="14"/>
                <w:color w:val="auto"/>
              </w:rPr>
            </w:pPr>
          </w:p>
        </w:tc>
        <w:tc>
          <w:tcPr>
            <w:tcW w:w="2800" w:type="dxa"/>
            <w:vAlign w:val="bottom"/>
            <w:gridSpan w:val="5"/>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98"/>
        </w:trPr>
        <w:tc>
          <w:tcPr>
            <w:tcW w:w="84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89,352</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50,847</w:t>
            </w:r>
          </w:p>
        </w:tc>
      </w:tr>
      <w:tr>
        <w:trPr>
          <w:trHeight w:val="19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and cash equivalents provided by operating activities: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33,228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28,161</w:t>
            </w: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taxes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11,881</w:t>
            </w: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68,804</w:t>
            </w: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Unrealized gain on investment in equity securities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(2,551)</w:t>
            </w: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operating lease expense</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w:t>
            </w: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Non-cash interest</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w:t>
            </w: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Contingent consideration fair value adjustment</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(25,285)</w:t>
            </w: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Loss on disposal of assets</w:t>
            </w:r>
          </w:p>
        </w:tc>
        <w:tc>
          <w:tcPr>
            <w:tcW w:w="8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Asset impairment charges</w:t>
            </w:r>
          </w:p>
        </w:tc>
        <w:tc>
          <w:tcPr>
            <w:tcW w:w="86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w:t>
            </w:r>
          </w:p>
        </w:tc>
      </w:tr>
      <w:tr>
        <w:trPr>
          <w:trHeight w:val="19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Accounts receivable, net</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(23,602)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(30,674)</w:t>
            </w: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Inventories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(9,693)</w:t>
            </w: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w:t>
            </w: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payable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22,391</w:t>
            </w: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Accrued royalties</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16,339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28,621</w:t>
            </w: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Income taxes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(16,003)</w:t>
            </w: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Accrued government rebates</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13,481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18,318</w:t>
            </w: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Returned goods reserve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10,731</w:t>
            </w:r>
          </w:p>
        </w:tc>
      </w:tr>
      <w:tr>
        <w:trPr>
          <w:trHeight w:val="183"/>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Accrued expenses, accrued compensation, and other</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(3,397)</w:t>
            </w: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and Cash Equivalents Provided by Operating Activities</w:t>
            </w:r>
          </w:p>
        </w:tc>
        <w:tc>
          <w:tcPr>
            <w:tcW w:w="8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198,830</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154,858</w:t>
            </w:r>
          </w:p>
        </w:tc>
      </w:tr>
      <w:tr>
        <w:trPr>
          <w:trHeight w:val="161"/>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Acquisition of product rights, intangible assets, and other related assets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(20,327)</w:t>
            </w:r>
          </w:p>
        </w:tc>
      </w:tr>
      <w:tr>
        <w:trPr>
          <w:trHeight w:val="182"/>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Acquisition of property and equipment, net</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(22,630)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(12,591)</w:t>
            </w: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and Cash Equivalents Used in Investing Activities</w:t>
            </w:r>
          </w:p>
        </w:tc>
        <w:tc>
          <w:tcPr>
            <w:tcW w:w="8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(27,880)</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(32,918)</w:t>
            </w:r>
          </w:p>
        </w:tc>
      </w:tr>
      <w:tr>
        <w:trPr>
          <w:trHeight w:val="161"/>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Principal payments on borrowings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(6,093)</w:t>
            </w: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Series A convertible preferred stock dividends paid</w:t>
            </w:r>
          </w:p>
        </w:tc>
        <w:tc>
          <w:tcPr>
            <w:tcW w:w="86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w:t>
            </w: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stock option exercises and ESPP purchases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13,566</w:t>
            </w:r>
          </w:p>
        </w:tc>
      </w:tr>
      <w:tr>
        <w:trPr>
          <w:trHeight w:val="181"/>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Treasury stock purchases for restricted stock vests</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(11,598)</w:t>
            </w:r>
          </w:p>
        </w:tc>
      </w:tr>
      <w:tr>
        <w:trPr>
          <w:trHeight w:val="197"/>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Payments of Novitium Contingent Consideration</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8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and Cash Equivalents Used in Financing Activities</w:t>
            </w: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(36,092)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(5,308)</w:t>
            </w:r>
          </w:p>
        </w:tc>
      </w:tr>
      <w:tr>
        <w:trPr>
          <w:trHeight w:val="18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1,120</w:t>
            </w: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Cash, Cash Equivalents, and Restricted Cash</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135,172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117,752</w:t>
            </w:r>
          </w:p>
        </w:tc>
      </w:tr>
      <w:tr>
        <w:trPr>
          <w:trHeight w:val="18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285,621</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144,894</w:t>
            </w: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end of period</w:t>
            </w:r>
          </w:p>
        </w:tc>
        <w:tc>
          <w:tcPr>
            <w:tcW w:w="86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420,793</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262,646</w:t>
            </w:r>
          </w:p>
        </w:tc>
      </w:tr>
      <w:tr>
        <w:trPr>
          <w:trHeight w:val="161"/>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beginning of period</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285,585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144,861</w:t>
            </w:r>
          </w:p>
        </w:tc>
      </w:tr>
      <w:tr>
        <w:trPr>
          <w:trHeight w:val="182"/>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beginning of period</w:t>
            </w:r>
          </w:p>
        </w:tc>
        <w:tc>
          <w:tcPr>
            <w:tcW w:w="86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285,621</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144,894</w:t>
            </w:r>
          </w:p>
        </w:tc>
      </w:tr>
      <w:tr>
        <w:trPr>
          <w:trHeight w:val="161"/>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end of period</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420,758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262,610</w:t>
            </w:r>
          </w:p>
        </w:tc>
      </w:tr>
      <w:tr>
        <w:trPr>
          <w:trHeight w:val="18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86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420,793</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262,646</w:t>
            </w:r>
          </w:p>
        </w:tc>
      </w:tr>
      <w:tr>
        <w:trPr>
          <w:trHeight w:val="161"/>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for cash flow information:</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paid for interest, net of amounts capitalized</w:t>
            </w:r>
          </w:p>
        </w:tc>
        <w:tc>
          <w:tcPr>
            <w:tcW w:w="86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22,318</w:t>
            </w:r>
          </w:p>
        </w:tc>
      </w:tr>
      <w:tr>
        <w:trPr>
          <w:trHeight w:val="183"/>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Cash paid for income taxes, net of refunds received</w:t>
            </w:r>
          </w:p>
        </w:tc>
        <w:tc>
          <w:tcPr>
            <w:tcW w:w="86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23,946</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16,613</w:t>
            </w:r>
          </w:p>
        </w:tc>
      </w:tr>
      <w:tr>
        <w:trPr>
          <w:trHeight w:val="17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non-cash investing and financing activities: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3"/>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Accrued consideration for acquired product rights and intangible assets</w:t>
            </w:r>
          </w:p>
        </w:tc>
        <w:tc>
          <w:tcPr>
            <w:tcW w:w="86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Property and equipment purchased and included in accounts payable</w:t>
            </w:r>
          </w:p>
        </w:tc>
        <w:tc>
          <w:tcPr>
            <w:tcW w:w="86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r>
      <w:tr>
        <w:trPr>
          <w:trHeight w:val="183"/>
        </w:trPr>
        <w:tc>
          <w:tcPr>
            <w:tcW w:w="8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Repurchases of common stock included in accounts payable</w:t>
            </w:r>
          </w:p>
        </w:tc>
        <w:tc>
          <w:tcPr>
            <w:tcW w:w="86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7" w:right="359" w:bottom="1440" w:gutter="0" w:footer="0" w:header="0"/>
        </w:sectPr>
      </w:pPr>
    </w:p>
    <w:bookmarkStart w:id="11" w:name="page12"/>
    <w:bookmarkEnd w:id="11"/>
    <w:p>
      <w:pPr>
        <w:jc w:val="center"/>
        <w:ind w:right="308"/>
        <w:spacing w:after="0" w:line="268"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(Tabular Dollars in Thousands, Except Share and per Share Data) (Unaudited)</w:t>
      </w:r>
    </w:p>
    <w:p>
      <w:pPr>
        <w:spacing w:after="0" w:line="144" w:lineRule="exact"/>
        <w:rPr>
          <w:sz w:val="20"/>
          <w:szCs w:val="20"/>
          <w:color w:val="auto"/>
        </w:rPr>
      </w:pPr>
    </w:p>
    <w:p>
      <w:pPr>
        <w:ind w:left="332" w:right="4140" w:hanging="332"/>
        <w:spacing w:after="0" w:line="479" w:lineRule="auto"/>
        <w:tabs>
          <w:tab w:leader="none" w:pos="32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PRESENTATION, AND RECENT ACCOUNTING PRONOUNCEMENTS Overview</w:t>
      </w:r>
    </w:p>
    <w:p>
      <w:pPr>
        <w:spacing w:after="0" w:line="1" w:lineRule="exact"/>
        <w:rPr>
          <w:rFonts w:ascii="Times New Roman" w:cs="Times New Roman" w:eastAsia="Times New Roman" w:hAnsi="Times New Roman"/>
          <w:sz w:val="18"/>
          <w:szCs w:val="18"/>
          <w:b w:val="1"/>
          <w:bCs w:val="1"/>
          <w:color w:val="auto"/>
        </w:rPr>
      </w:pPr>
    </w:p>
    <w:p>
      <w:pPr>
        <w:ind w:left="332" w:right="6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ANI Pharmaceuticals, Inc. and its consolidated subsidiaries (collectively, “ANI,” the “Company,” “we,” “us,” or “our”) is a diversified bio-pharmaceutical company. The Company’s mission is “Serving Patients, Improving Lives” by developing, manufacturing, and commercializing therapeutics through its Rare Disease, Generics and Other, and Brands businesses.</w:t>
      </w:r>
    </w:p>
    <w:p>
      <w:pPr>
        <w:spacing w:after="0" w:line="135" w:lineRule="exact"/>
        <w:rPr>
          <w:rFonts w:ascii="Times New Roman" w:cs="Times New Roman" w:eastAsia="Times New Roman" w:hAnsi="Times New Roman"/>
          <w:sz w:val="18"/>
          <w:szCs w:val="18"/>
          <w:b w:val="1"/>
          <w:bCs w:val="1"/>
          <w:color w:val="auto"/>
        </w:rPr>
      </w:pPr>
    </w:p>
    <w:p>
      <w:pPr>
        <w:ind w:left="332" w:right="1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acquisition of Alimera Sciences, Inc. (“Alimera”) in September 2024, the Company added two new products, ILUVIEN® (“ILUVIEN”) and YUTIQ® (“YUTIQ”), both of which are indicated for the treatment of chronic retinal diseases. In March 2025, the U.S. Food and Drug Administration (the “FDA”) approved an expanded label for ILUVIEN to include an indication for the treatment of chronic non-infectious uveitis affecting the posterior segment of the eye (“NIU-PS”) in addition to the then-current indication of Diabetic Macular Edema (“DME”). The Company is currently marketing ILUVIEN for both indications in the U.S. ILUVIEN was already approved for both DME and NIU-PS outside the U.S., including in seventeen European countries. During the second quarter of 2025, the Company transitioned promotional efforts in the U.S. from YUTIQ to ILUVIEN with its combined label of DME and NIU-PS.</w:t>
      </w:r>
    </w:p>
    <w:p>
      <w:pPr>
        <w:spacing w:after="0" w:line="161" w:lineRule="exact"/>
        <w:rPr>
          <w:rFonts w:ascii="Times New Roman" w:cs="Times New Roman" w:eastAsia="Times New Roman" w:hAnsi="Times New Roman"/>
          <w:sz w:val="18"/>
          <w:szCs w:val="18"/>
          <w:b w:val="1"/>
          <w:bCs w:val="1"/>
          <w:color w:val="auto"/>
        </w:rPr>
      </w:pPr>
    </w:p>
    <w:p>
      <w:pPr>
        <w:ind w:left="332"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owns and operates three pharmaceutical manufacturing facilities, which include two facilities in Baudette, Minnesota and one in East Windsor, New Jersey, which collectively are capable of producing oral solid dose products, as well as semi-solids, liquids and topicals, controlled substances, and potent products that must be manufactured in a fully-contained environment.</w:t>
      </w:r>
    </w:p>
    <w:p>
      <w:pPr>
        <w:spacing w:after="0" w:line="131"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88" w:lineRule="exact"/>
        <w:rPr>
          <w:rFonts w:ascii="Times New Roman" w:cs="Times New Roman" w:eastAsia="Times New Roman" w:hAnsi="Times New Roman"/>
          <w:sz w:val="18"/>
          <w:szCs w:val="18"/>
          <w:b w:val="1"/>
          <w:bCs w:val="1"/>
          <w:color w:val="auto"/>
        </w:rPr>
      </w:pPr>
    </w:p>
    <w:p>
      <w:pPr>
        <w:ind w:left="3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accounting principles generally accepted in the United States of America (“U.S. GAAP”) for interim financial information. In the opinion of management, the accompanying unaudited interim condensed consolidated financial statements include all adjustments, consisting of normal recurring adjustments, which are necessary to present fairly the Company’s financial position, results of operations, comprehensive income (loss), and cash flows. The condensed consolidated balance sheet at December 31, 2025 has been derived from audited financial statements as of that date. The unaudited condensed consolidated statements of operations are not necessarily indicative of the results that may occur for the full fiscal year. Certain information and footnote disclosure normally included in financial statements prepared in accordance with U.S. GAAP have been omitted pursuant to instructions, rules, and regulations prescribed by the U.S. Securities and Exchange Commission (the “SEC”). Therefore, these unaudited interim condensed consolidated financial statements should be read in conjunction with the Company’s audited financial statements and notes thereto previously distributed in the Company’s Annual Report on Form 10-K for the year ended December 31, 2025 (the “2025 Form 10-K”), as filed with the SEC.</w:t>
      </w:r>
    </w:p>
    <w:p>
      <w:pPr>
        <w:spacing w:after="0" w:line="163"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188" w:lineRule="exact"/>
        <w:rPr>
          <w:rFonts w:ascii="Times New Roman" w:cs="Times New Roman" w:eastAsia="Times New Roman" w:hAnsi="Times New Roman"/>
          <w:sz w:val="18"/>
          <w:szCs w:val="18"/>
          <w:b w:val="1"/>
          <w:bCs w:val="1"/>
          <w:color w:val="auto"/>
        </w:rPr>
      </w:pPr>
    </w:p>
    <w:p>
      <w:pPr>
        <w:ind w:left="332" w:righ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interim condensed consolidated financial statements include the accounts of ANI Pharmaceuticals, Inc. and its subsidiaries. All intercompany accounts and transactions are eliminated in consolidation.</w:t>
      </w:r>
    </w:p>
    <w:p>
      <w:pPr>
        <w:spacing w:after="0" w:line="117"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02" w:lineRule="exact"/>
        <w:rPr>
          <w:rFonts w:ascii="Times New Roman" w:cs="Times New Roman" w:eastAsia="Times New Roman" w:hAnsi="Times New Roman"/>
          <w:sz w:val="18"/>
          <w:szCs w:val="18"/>
          <w:b w:val="1"/>
          <w:bCs w:val="1"/>
          <w:color w:val="auto"/>
        </w:rPr>
      </w:pPr>
    </w:p>
    <w:p>
      <w:pPr>
        <w:ind w:left="332"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In the consolidated financial statements, estimates are used for, but not limited to, variable consideration determined based on accruals for chargebacks, administrative fees and rebates, government rebates, returns and other allowances, income tax provision or benefit, deferred taxes and valuation allowance, stock-based compensation, revenue recognition, allowance for inventory obsolescence, valuation of financial instruments and intangible assets, accruals for contingent liabilities, including contingent consideration and contingent value rights in acquisitions, fair value of long-lived assets, determination of right-of-use assets and lease liabilities, allowance for credit losses, and the depreciable lives of long-lived assets. Because of the uncertainties inherent in such estimates, actual results may differ from those estimates. Management periodically evaluates estimates used in the preparation of the financial statements for reasonableness.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41" w:right="359" w:bottom="1440" w:gutter="0" w:footer="0" w:header="0"/>
        </w:sectPr>
      </w:pPr>
    </w:p>
    <w:bookmarkStart w:id="12" w:name="page13"/>
    <w:bookmarkEnd w:id="12"/>
    <w:p>
      <w:pPr>
        <w:ind w:left="332"/>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7" w:lineRule="exact"/>
        <w:rPr>
          <w:sz w:val="20"/>
          <w:szCs w:val="20"/>
          <w:color w:val="auto"/>
        </w:rPr>
      </w:pPr>
    </w:p>
    <w:p>
      <w:pPr>
        <w:ind w:left="332" w:right="2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33" w:lineRule="exact"/>
        <w:rPr>
          <w:sz w:val="20"/>
          <w:szCs w:val="20"/>
          <w:color w:val="auto"/>
        </w:rPr>
      </w:pPr>
    </w:p>
    <w:p>
      <w:pPr>
        <w:ind w:left="332" w:right="1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(DISE)</w:t>
      </w:r>
      <w:r>
        <w:rPr>
          <w:rFonts w:ascii="Times New Roman" w:cs="Times New Roman" w:eastAsia="Times New Roman" w:hAnsi="Times New Roman"/>
          <w:sz w:val="18"/>
          <w:szCs w:val="18"/>
          <w:color w:val="auto"/>
        </w:rPr>
        <w:t>, which specifies additional disclosure requirements. The new guidance requires additional disclosures, including the composition of certain income statement expense line items (such as purchases of inventory, employee compensation, and “other expenses”) and a separate disclosure for selling expenses. This change is effective for fiscal years beginning after December 15, 2026, and interim periods beginning after December 15, 2027, however, early adoption is permitted. The Company is currently evaluating the impact that the adoption of ASU 2024-03 will have on the consolidated financial statements and disclosures and anticipates disclosing any impact of the adoption in the Annual Report on Form 10-K for the fiscal year ended December 31, 2027.</w:t>
      </w:r>
    </w:p>
    <w:p>
      <w:pPr>
        <w:spacing w:after="0" w:line="142" w:lineRule="exact"/>
        <w:rPr>
          <w:sz w:val="20"/>
          <w:szCs w:val="20"/>
          <w:color w:val="auto"/>
        </w:rPr>
      </w:pPr>
    </w:p>
    <w:p>
      <w:pPr>
        <w:ind w:left="332"/>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which amends the guidance in ASC 350-40,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The amendments modernize the recognition and disclosure framework 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The Company is currently evaluating the impact that the adoption of ASU 2025-06 will have on the consolidated financial statements and disclosures and anticipates disclosing any impact of the adoption in the Annual Report on Form 10-K for the fiscal year ended December 31, 2028.</w:t>
      </w:r>
    </w:p>
    <w:p>
      <w:pPr>
        <w:spacing w:after="0" w:line="155" w:lineRule="exact"/>
        <w:rPr>
          <w:sz w:val="20"/>
          <w:szCs w:val="20"/>
          <w:color w:val="auto"/>
        </w:rPr>
      </w:pPr>
    </w:p>
    <w:p>
      <w:pPr>
        <w:ind w:left="332" w:right="100"/>
        <w:spacing w:after="0" w:line="277" w:lineRule="auto"/>
        <w:rPr>
          <w:sz w:val="20"/>
          <w:szCs w:val="20"/>
          <w:color w:val="auto"/>
        </w:rPr>
      </w:pPr>
      <w:r>
        <w:rPr>
          <w:rFonts w:ascii="Times New Roman" w:cs="Times New Roman" w:eastAsia="Times New Roman" w:hAnsi="Times New Roman"/>
          <w:sz w:val="17"/>
          <w:szCs w:val="17"/>
          <w:color w:val="auto"/>
        </w:rPr>
        <w:t xml:space="preserve">In November 2025, the FASB issued ASU 2025-09, </w:t>
      </w:r>
      <w:r>
        <w:rPr>
          <w:rFonts w:ascii="Times New Roman" w:cs="Times New Roman" w:eastAsia="Times New Roman" w:hAnsi="Times New Roman"/>
          <w:sz w:val="17"/>
          <w:szCs w:val="17"/>
          <w:i w:val="1"/>
          <w:iCs w:val="1"/>
          <w:color w:val="auto"/>
        </w:rPr>
        <w:t>Derivatives and Hedging: Hedge Accounting Improvements.</w:t>
      </w:r>
      <w:r>
        <w:rPr>
          <w:rFonts w:ascii="Times New Roman" w:cs="Times New Roman" w:eastAsia="Times New Roman" w:hAnsi="Times New Roman"/>
          <w:sz w:val="17"/>
          <w:szCs w:val="17"/>
          <w:color w:val="auto"/>
        </w:rPr>
        <w:t xml:space="preserve"> The amendments in ASU 2025-09 more closely align hedge accounting with the economics of an entity’s risk management activities for (i) similar risk assessment for cash flow hedges,</w:t>
      </w:r>
    </w:p>
    <w:p>
      <w:pPr>
        <w:spacing w:after="0" w:line="1" w:lineRule="exact"/>
        <w:rPr>
          <w:sz w:val="20"/>
          <w:szCs w:val="20"/>
          <w:color w:val="auto"/>
        </w:rPr>
      </w:pPr>
    </w:p>
    <w:p>
      <w:pPr>
        <w:jc w:val="both"/>
        <w:ind w:left="332" w:right="100" w:hanging="8"/>
        <w:spacing w:after="0" w:line="253" w:lineRule="auto"/>
        <w:tabs>
          <w:tab w:leader="none" w:pos="5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forecasted interest payments on choose-your-rate debt instruments, (iii) cash flow hedges of nonfinancial forecasted transactions, (iv) net written options as hedging instruments, and (v) foreign-currency-denominated debt instrument as hedging instrument and hedged item. ASU 2025-09 is effective for fiscal periods beginning after December 15, 2026, and interim periods thereafter. The Company is currently evaluating the impact that the adoption of ASU 2025-09 will have on the consolidated financial statements and disclosures and anticipates disclosing any impact of the adoption in the Annual Report on Form 10-K for the fiscal year ended December 31, 2027.</w:t>
      </w:r>
    </w:p>
    <w:p>
      <w:pPr>
        <w:spacing w:after="0" w:line="146" w:lineRule="exact"/>
        <w:rPr>
          <w:sz w:val="20"/>
          <w:szCs w:val="20"/>
          <w:color w:val="auto"/>
        </w:rPr>
      </w:pPr>
    </w:p>
    <w:p>
      <w:pPr>
        <w:ind w:left="332" w:right="820"/>
        <w:spacing w:after="0" w:line="282" w:lineRule="auto"/>
        <w:rPr>
          <w:sz w:val="20"/>
          <w:szCs w:val="20"/>
          <w:color w:val="auto"/>
        </w:rPr>
      </w:pPr>
      <w:r>
        <w:rPr>
          <w:rFonts w:ascii="Times New Roman" w:cs="Times New Roman" w:eastAsia="Times New Roman" w:hAnsi="Times New Roman"/>
          <w:sz w:val="18"/>
          <w:szCs w:val="18"/>
          <w:color w:val="auto"/>
        </w:rPr>
        <w:t>There are no other accounting pronouncements recently issued or newly effective that had, or are expected to have, a material impact on the Company’s consolidated financial statements.</w:t>
      </w:r>
    </w:p>
    <w:p>
      <w:pPr>
        <w:spacing w:after="0" w:line="117" w:lineRule="exact"/>
        <w:rPr>
          <w:sz w:val="20"/>
          <w:szCs w:val="20"/>
          <w:color w:val="auto"/>
        </w:rPr>
      </w:pPr>
    </w:p>
    <w:p>
      <w:pPr>
        <w:ind w:left="332" w:right="6000" w:hanging="332"/>
        <w:spacing w:after="0" w:line="487" w:lineRule="auto"/>
        <w:tabs>
          <w:tab w:leader="none" w:pos="32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RELATED ALLOWANCES Revenue Recognition</w:t>
      </w: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recognized using the following steps:</w:t>
      </w:r>
    </w:p>
    <w:p>
      <w:pPr>
        <w:spacing w:after="0" w:line="225" w:lineRule="exact"/>
        <w:rPr>
          <w:rFonts w:ascii="Times New Roman" w:cs="Times New Roman" w:eastAsia="Times New Roman" w:hAnsi="Times New Roman"/>
          <w:sz w:val="18"/>
          <w:szCs w:val="18"/>
          <w:b w:val="1"/>
          <w:bCs w:val="1"/>
          <w:color w:val="auto"/>
        </w:rPr>
      </w:pPr>
    </w:p>
    <w:p>
      <w:pPr>
        <w:ind w:left="1292" w:hanging="320"/>
        <w:spacing w:after="0"/>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identification and estimation of variable consideration;</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the Company satisfies a performance obligation.</w:t>
      </w:r>
    </w:p>
    <w:p>
      <w:pPr>
        <w:spacing w:after="0" w:line="225" w:lineRule="exact"/>
        <w:rPr>
          <w:sz w:val="20"/>
          <w:szCs w:val="20"/>
          <w:color w:val="auto"/>
        </w:rPr>
      </w:pPr>
    </w:p>
    <w:p>
      <w:pPr>
        <w:ind w:left="332" w:right="20"/>
        <w:spacing w:after="0" w:line="255" w:lineRule="auto"/>
        <w:rPr>
          <w:sz w:val="20"/>
          <w:szCs w:val="20"/>
          <w:color w:val="auto"/>
        </w:rPr>
      </w:pPr>
      <w:r>
        <w:rPr>
          <w:rFonts w:ascii="Times New Roman" w:cs="Times New Roman" w:eastAsia="Times New Roman" w:hAnsi="Times New Roman"/>
          <w:sz w:val="18"/>
          <w:szCs w:val="18"/>
          <w:color w:val="auto"/>
        </w:rPr>
        <w:t>Revenues are primarily derived from sales of generic, rare disease, and brands portfolio pharmaceutical products, certain milestone payments, royalties, and other pharmaceutical services. Revenue is recognized when obligations under the terms of contracts with customers are satisfied, which generally occurs when control of the products is transferred to the customer. Revenue is measured at the net transaction price equal to the gross invoice price reduced by estimated variable consideration. Estimates of variable consideration are updated each reporting period based on available historical data, contractual terms, and management’s judgment regarding current market conditions. The Company generally does not have incremental costs to obtain contracts that would otherwise not have been incurred. The Company does not adjust revenue for the promised amount of consideration for the effects of a significant financing component because its customers generally pay within 100 days.</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41" w:right="359" w:bottom="1440" w:gutter="0" w:footer="0" w:header="0"/>
        </w:sectPr>
      </w:pPr>
    </w:p>
    <w:bookmarkStart w:id="13" w:name="page14"/>
    <w:bookmarkEnd w:id="13"/>
    <w:p>
      <w:pPr>
        <w:ind w:left="8" w:right="120"/>
        <w:spacing w:after="0" w:line="282" w:lineRule="auto"/>
        <w:rPr>
          <w:sz w:val="20"/>
          <w:szCs w:val="20"/>
          <w:color w:val="auto"/>
        </w:rPr>
      </w:pPr>
      <w:r>
        <w:rPr>
          <w:rFonts w:ascii="Times New Roman" w:cs="Times New Roman" w:eastAsia="Times New Roman" w:hAnsi="Times New Roman"/>
          <w:sz w:val="18"/>
          <w:szCs w:val="18"/>
          <w:color w:val="auto"/>
        </w:rPr>
        <w:t>All revenue recognized in the accompanying unaudited condensed consolidated statements of operations is considered to be revenue from contracts with customers. The following table depicts the disaggregation of revenue:</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Services (in thousands)</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3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and Brands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Cortrophin Gel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138,655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101,850</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330,900</w:t>
            </w: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236,347</w:t>
            </w:r>
          </w:p>
        </w:tc>
      </w:tr>
      <w:tr>
        <w:trPr>
          <w:trHeight w:val="243"/>
        </w:trPr>
        <w:tc>
          <w:tcPr>
            <w:tcW w:w="3900" w:type="dxa"/>
            <w:vAlign w:val="bottom"/>
            <w:gridSpan w:val="2"/>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ILUVIEN and YUTIQ</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55,025</w:t>
            </w:r>
          </w:p>
        </w:tc>
      </w:tr>
      <w:tr>
        <w:trPr>
          <w:trHeight w:val="237"/>
        </w:trPr>
        <w:tc>
          <w:tcPr>
            <w:tcW w:w="39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total net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160,909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118,450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391,127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291,372</w:t>
            </w:r>
          </w:p>
        </w:tc>
      </w:tr>
      <w:tr>
        <w:trPr>
          <w:trHeight w:val="237"/>
        </w:trPr>
        <w:tc>
          <w:tcPr>
            <w:tcW w:w="3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Brands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r>
      <w:tr>
        <w:trPr>
          <w:trHeight w:val="243"/>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Brand royalties and other revenues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9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and Brands total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182,347</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129,125</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475,977</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340,365</w:t>
            </w:r>
          </w:p>
        </w:tc>
      </w:tr>
      <w:tr>
        <w:trPr>
          <w:trHeight w:val="223"/>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Generics and Other</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3"/>
        </w:trPr>
        <w:tc>
          <w:tcPr>
            <w:tcW w:w="3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Generic pharmaceutical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283,350</w:t>
            </w:r>
          </w:p>
        </w:tc>
      </w:tr>
      <w:tr>
        <w:trPr>
          <w:trHeight w:val="243"/>
        </w:trPr>
        <w:tc>
          <w:tcPr>
            <w:tcW w:w="39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generic revenues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12,591</w:t>
            </w:r>
          </w:p>
        </w:tc>
      </w:tr>
      <w:tr>
        <w:trPr>
          <w:trHeight w:val="237"/>
        </w:trPr>
        <w:tc>
          <w:tcPr>
            <w:tcW w:w="3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Generics and Other total net revenues</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108,430</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318,306</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295,941</w:t>
            </w:r>
          </w:p>
        </w:tc>
      </w:tr>
      <w:tr>
        <w:trPr>
          <w:trHeight w:val="237"/>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290,777</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227,813</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794,283</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636,306</w:t>
            </w: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6" w:lineRule="exact"/>
        <w:rPr>
          <w:sz w:val="20"/>
          <w:szCs w:val="20"/>
          <w:color w:val="auto"/>
        </w:rPr>
      </w:pPr>
    </w:p>
    <w:p>
      <w:pPr>
        <w:ind w:left="328" w:right="140" w:hanging="328"/>
        <w:spacing w:after="0" w:line="212" w:lineRule="auto"/>
        <w:tabs>
          <w:tab w:leader="none" w:pos="316"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sales of YUTIQ during the nine months ended September 30, 2026, as the Company transitioned promotional efforts in the U.S. from YUTIQ to ILUVIEN, which has a combined label of DME and NIU-PS as of the second quarter of 2025.</w:t>
      </w:r>
    </w:p>
    <w:p>
      <w:pPr>
        <w:spacing w:after="0" w:line="158" w:lineRule="exact"/>
        <w:rPr>
          <w:sz w:val="20"/>
          <w:szCs w:val="20"/>
          <w:color w:val="auto"/>
        </w:rPr>
      </w:pPr>
    </w:p>
    <w:p>
      <w:pPr>
        <w:ind w:left="8" w:right="280"/>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2026, all of the Company’s revenue was recognized at a point in time, except for the revenue recognized under the Harmony Agreement (as defined below). Revenue is recognized at a point in time when the performance obligations in the Company's contracts with customers have been satisfied, generally when control of the products is transferred to the customer. The Company estimates and recognizes royalty revenue as the related sales occur, and recognizes milestone revenue as the milestones are achieved.</w:t>
      </w:r>
    </w:p>
    <w:p>
      <w:pPr>
        <w:spacing w:after="0" w:line="153" w:lineRule="exact"/>
        <w:rPr>
          <w:sz w:val="20"/>
          <w:szCs w:val="20"/>
          <w:color w:val="auto"/>
        </w:rPr>
      </w:pPr>
    </w:p>
    <w:p>
      <w:pPr>
        <w:ind w:left="8"/>
        <w:spacing w:after="0" w:line="253" w:lineRule="auto"/>
        <w:rPr>
          <w:sz w:val="20"/>
          <w:szCs w:val="20"/>
          <w:color w:val="auto"/>
        </w:rPr>
      </w:pPr>
      <w:r>
        <w:rPr>
          <w:rFonts w:ascii="Times New Roman" w:cs="Times New Roman" w:eastAsia="Times New Roman" w:hAnsi="Times New Roman"/>
          <w:sz w:val="18"/>
          <w:szCs w:val="18"/>
          <w:color w:val="auto"/>
        </w:rPr>
        <w:t>In January 2026, Novitium Pharma LLC (“Novitium”), a subsidiary of the Company, entered into an IP license agreement (“Harmony Agreement”) with Harmony Biosciences LLC (“Harmony”), which includes an exclusive license to intellectual property that will expand the intellectual property estate of Harmony, as well as a co-exclusive license, with which Harmony and Novitium intend to develop a novel formulation of pitolisant in broad central nervous system indications outside of sleep/wake. Under the Harmony Agreement, the Company received an upfront license fee of $15.0 million, which was recognized as revenue within the condensed consolidated statements of operations for the three months ended March 31, 2026. In addition, the Company earns low-single digit royalties on net sales of pitolisant-based products. The Company recognized royalty revenue of $9.5 million and $25.7 million in the three and nine months ended September 30, 2026, respectively. In addition, the Company recognized an aggregate of $10.0 million upon the achievement of certain development milestones that were satisfied over time. During the three and nine months ended September 30, 2026, the Company recognized $2.0 million and $10.0 million of revenue associated with the achievement of the development milestones, respectively.</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89" w:lineRule="exact"/>
        <w:rPr>
          <w:sz w:val="20"/>
          <w:szCs w:val="20"/>
          <w:color w:val="auto"/>
        </w:rPr>
      </w:pPr>
    </w:p>
    <w:p>
      <w:pPr>
        <w:ind w:left="8" w:right="360"/>
        <w:spacing w:after="0" w:line="282" w:lineRule="auto"/>
        <w:rPr>
          <w:sz w:val="20"/>
          <w:szCs w:val="20"/>
          <w:color w:val="auto"/>
        </w:rPr>
      </w:pPr>
      <w:r>
        <w:rPr>
          <w:rFonts w:ascii="Times New Roman" w:cs="Times New Roman" w:eastAsia="Times New Roman" w:hAnsi="Times New Roman"/>
          <w:sz w:val="18"/>
          <w:szCs w:val="18"/>
          <w:color w:val="auto"/>
        </w:rPr>
        <w:t>Sales of pharmaceutical products are subject to variable consideration due to chargebacks, government rebates, returns, administrative and other rebates, and prompt pay discounts. Estimates for these elements of variable consideration require significant judgment.</w:t>
      </w:r>
    </w:p>
    <w:p>
      <w:pPr>
        <w:spacing w:after="0" w:line="391"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8"/>
          </w:cols>
          <w:pgMar w:left="652" w:top="945" w:right="499" w:bottom="1440" w:gutter="0" w:footer="0" w:header="0"/>
        </w:sectPr>
      </w:pPr>
    </w:p>
    <w:bookmarkStart w:id="14" w:name="page15"/>
    <w:bookmarkEnd w:id="14"/>
    <w:p>
      <w:pPr>
        <w:ind w:left="332"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the unaudited condensed consolidated balance sheets for accruals and allowances for the nine months ended September 30, 2026 and 2025, respectively:</w:t>
      </w:r>
    </w:p>
    <w:p>
      <w:pPr>
        <w:spacing w:after="0" w:line="185"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Accruals for Chargebacks, Returns, and Other Allowances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8"/>
                <w:szCs w:val="18"/>
                <w:b w:val="1"/>
                <w:bCs w:val="1"/>
                <w:color w:val="auto"/>
              </w:rPr>
              <w:t>Accrued</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Returned Goods</w:t>
            </w: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180" w:type="dxa"/>
            <w:vAlign w:val="bottom"/>
          </w:tcPr>
          <w:p>
            <w:pPr>
              <w:spacing w:after="0"/>
              <w:rPr>
                <w:sz w:val="15"/>
                <w:szCs w:val="15"/>
                <w:color w:val="auto"/>
              </w:rPr>
            </w:pPr>
          </w:p>
        </w:tc>
        <w:tc>
          <w:tcPr>
            <w:tcW w:w="1140" w:type="dxa"/>
            <w:vAlign w:val="bottom"/>
          </w:tcPr>
          <w:p>
            <w:pPr>
              <w:jc w:val="center"/>
              <w:ind w:right="110"/>
              <w:spacing w:after="0" w:line="182" w:lineRule="exact"/>
              <w:rPr>
                <w:sz w:val="20"/>
                <w:szCs w:val="20"/>
                <w:color w:val="auto"/>
              </w:rPr>
            </w:pPr>
            <w:r>
              <w:rPr>
                <w:rFonts w:ascii="Times New Roman" w:cs="Times New Roman" w:eastAsia="Times New Roman" w:hAnsi="Times New Roman"/>
                <w:sz w:val="18"/>
                <w:szCs w:val="18"/>
                <w:b w:val="1"/>
                <w:bCs w:val="1"/>
                <w:color w:val="auto"/>
                <w:w w:val="98"/>
              </w:rPr>
              <w:t>Prompt</w:t>
            </w:r>
          </w:p>
        </w:tc>
        <w:tc>
          <w:tcPr>
            <w:tcW w:w="0" w:type="dxa"/>
            <w:vAlign w:val="bottom"/>
          </w:tcPr>
          <w:p>
            <w:pPr>
              <w:spacing w:after="0"/>
              <w:rPr>
                <w:sz w:val="1"/>
                <w:szCs w:val="1"/>
                <w:color w:val="auto"/>
              </w:rPr>
            </w:pPr>
          </w:p>
        </w:tc>
      </w:tr>
      <w:tr>
        <w:trPr>
          <w:trHeight w:val="175"/>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Government</w:t>
            </w:r>
          </w:p>
        </w:tc>
        <w:tc>
          <w:tcPr>
            <w:tcW w:w="14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Fees and Other</w:t>
            </w:r>
          </w:p>
        </w:tc>
        <w:tc>
          <w:tcPr>
            <w:tcW w:w="180" w:type="dxa"/>
            <w:vAlign w:val="bottom"/>
          </w:tcPr>
          <w:p>
            <w:pPr>
              <w:spacing w:after="0"/>
              <w:rPr>
                <w:sz w:val="15"/>
                <w:szCs w:val="15"/>
                <w:color w:val="auto"/>
              </w:rPr>
            </w:pPr>
          </w:p>
        </w:tc>
        <w:tc>
          <w:tcPr>
            <w:tcW w:w="11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Payment</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Rebates</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Discounts</w:t>
            </w:r>
          </w:p>
        </w:tc>
        <w:tc>
          <w:tcPr>
            <w:tcW w:w="0" w:type="dxa"/>
            <w:vAlign w:val="bottom"/>
          </w:tcPr>
          <w:p>
            <w:pPr>
              <w:spacing w:after="0"/>
              <w:rPr>
                <w:sz w:val="1"/>
                <w:szCs w:val="1"/>
                <w:color w:val="auto"/>
              </w:rPr>
            </w:pPr>
          </w:p>
        </w:tc>
      </w:tr>
      <w:tr>
        <w:trPr>
          <w:trHeight w:val="23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105,630</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18,714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39,274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19,588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0" w:type="dxa"/>
            <w:vAlign w:val="bottom"/>
          </w:tcPr>
          <w:p>
            <w:pPr>
              <w:spacing w:after="0"/>
              <w:rPr>
                <w:sz w:val="1"/>
                <w:szCs w:val="1"/>
                <w:color w:val="auto"/>
              </w:rPr>
            </w:pPr>
          </w:p>
        </w:tc>
      </w:tr>
      <w:tr>
        <w:trPr>
          <w:trHeight w:val="23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Accruals</w:t>
            </w: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493,008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rPr>
              <w:t>53,983</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30,977</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rPr>
              <w:t>62,159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(496,765)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(35,665)</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(20,246)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(58,645)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(25,495)</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101,873</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37,032</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50,005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23,102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143,452</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43,154</w:t>
            </w:r>
          </w:p>
        </w:tc>
        <w:tc>
          <w:tcPr>
            <w:tcW w:w="8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49,504</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28,913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0" w:type="dxa"/>
            <w:vAlign w:val="bottom"/>
          </w:tcPr>
          <w:p>
            <w:pPr>
              <w:spacing w:after="0"/>
              <w:rPr>
                <w:sz w:val="1"/>
                <w:szCs w:val="1"/>
                <w:color w:val="auto"/>
              </w:rPr>
            </w:pPr>
          </w:p>
        </w:tc>
      </w:tr>
      <w:tr>
        <w:trPr>
          <w:trHeight w:val="237"/>
        </w:trPr>
        <w:tc>
          <w:tcPr>
            <w:tcW w:w="33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Accruals</w:t>
            </w:r>
          </w:p>
        </w:tc>
        <w:tc>
          <w:tcPr>
            <w:tcW w:w="14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562,890</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64,306</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28,095</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73,886</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29,749</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(586,235)</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(50,825)</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(31,951)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(72,483)</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(30,279)</w:t>
            </w: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120,107</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56,635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45,648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30,316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98" w:lineRule="exact"/>
        <w:rPr>
          <w:sz w:val="20"/>
          <w:szCs w:val="20"/>
          <w:color w:val="auto"/>
        </w:rPr>
      </w:pPr>
    </w:p>
    <w:p>
      <w:pPr>
        <w:ind w:left="652" w:right="200" w:hanging="328"/>
        <w:spacing w:after="0" w:line="289" w:lineRule="auto"/>
        <w:tabs>
          <w:tab w:leader="none" w:pos="64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net in the unaudited condensed consolidated balance sheet at September 30, 2026 includes $120.1 million of Chargebacks, $21.4 million of Administrative Fees and Other Rebates and $8.1 million of Prompt Payment Discounts. Accrued expenses and other in the unaudited condensed consolidated balance sheet at September 30, 2026 includes $8.9 million of Administrative Fees and Other Rebates.</w:t>
      </w:r>
    </w:p>
    <w:p>
      <w:pPr>
        <w:spacing w:after="0" w:line="11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Credit Concentration</w:t>
      </w:r>
    </w:p>
    <w:p>
      <w:pPr>
        <w:spacing w:after="0" w:line="256" w:lineRule="exact"/>
        <w:rPr>
          <w:sz w:val="20"/>
          <w:szCs w:val="20"/>
          <w:color w:val="auto"/>
        </w:rPr>
      </w:pPr>
    </w:p>
    <w:p>
      <w:pPr>
        <w:ind w:left="332" w:right="400"/>
        <w:spacing w:after="0" w:line="282" w:lineRule="auto"/>
        <w:rPr>
          <w:sz w:val="20"/>
          <w:szCs w:val="20"/>
          <w:color w:val="auto"/>
        </w:rPr>
      </w:pPr>
      <w:r>
        <w:rPr>
          <w:rFonts w:ascii="Times New Roman" w:cs="Times New Roman" w:eastAsia="Times New Roman" w:hAnsi="Times New Roman"/>
          <w:sz w:val="18"/>
          <w:szCs w:val="18"/>
          <w:color w:val="auto"/>
        </w:rPr>
        <w:t>ANI’s customers are primarily national wholesalers, specialty pharmacies, retail pharmacy chains, other U.S. and international distributors, group purchasing organizations, and hospitals and healthcare providers.</w:t>
      </w:r>
    </w:p>
    <w:p>
      <w:pPr>
        <w:spacing w:after="0" w:line="121" w:lineRule="exact"/>
        <w:rPr>
          <w:sz w:val="20"/>
          <w:szCs w:val="20"/>
          <w:color w:val="auto"/>
        </w:rPr>
      </w:pPr>
    </w:p>
    <w:p>
      <w:pPr>
        <w:ind w:left="332" w:right="500"/>
        <w:spacing w:after="0" w:line="282" w:lineRule="auto"/>
        <w:rPr>
          <w:sz w:val="20"/>
          <w:szCs w:val="20"/>
          <w:color w:val="auto"/>
        </w:rPr>
      </w:pPr>
      <w:r>
        <w:rPr>
          <w:rFonts w:ascii="Times New Roman" w:cs="Times New Roman" w:eastAsia="Times New Roman" w:hAnsi="Times New Roman"/>
          <w:sz w:val="18"/>
          <w:szCs w:val="18"/>
          <w:color w:val="auto"/>
        </w:rPr>
        <w:t>The three customers that accounted for 10% or more of net revenues during the three and nine months ended September 30, 2026 and 2025 each represent the total percentage of net revenues as follows:</w:t>
      </w:r>
    </w:p>
    <w:p>
      <w:pPr>
        <w:spacing w:after="0" w:line="185"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0"/>
                <w:szCs w:val="20"/>
                <w:color w:val="auto"/>
              </w:rPr>
            </w:pPr>
          </w:p>
        </w:tc>
        <w:tc>
          <w:tcPr>
            <w:tcW w:w="34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4720" w:type="dxa"/>
            <w:vAlign w:val="bottom"/>
            <w:tcBorders>
              <w:bottom w:val="single" w:sz="8" w:color="auto"/>
            </w:tcBorders>
            <w:gridSpan w:val="2"/>
          </w:tcPr>
          <w:p>
            <w:pPr>
              <w:ind w:left="4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5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Customer 1 represented approximately 21% and 24% of the total accounts receivable as of September 30, 2026 and December 31, 2025, respectively.</w:t>
      </w:r>
    </w:p>
    <w:p>
      <w:pPr>
        <w:spacing w:after="0" w:line="2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Customer 2 represented approximately 15% and 14% of the total accounts receivable as of September 30, 2026 and December 31, 2025, respectively.</w:t>
      </w:r>
    </w:p>
    <w:p>
      <w:pPr>
        <w:spacing w:after="0" w:line="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Customer 3 represented approximately 18% and 21% of the total accounts receivable as of September 30, 2026 and December 31, 2025, respectively.</w:t>
      </w:r>
    </w:p>
    <w:p>
      <w:pPr>
        <w:spacing w:after="0" w:line="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Customer 4 represented approximately 13% and 19% of the total accounts receivable as of September 30, 2026 and December 31, 2025, respectively.</w:t>
      </w:r>
    </w:p>
    <w:p>
      <w:pPr>
        <w:spacing w:after="0" w:line="162" w:lineRule="exact"/>
        <w:rPr>
          <w:sz w:val="20"/>
          <w:szCs w:val="20"/>
          <w:color w:val="auto"/>
        </w:rPr>
      </w:pPr>
    </w:p>
    <w:p>
      <w:pPr>
        <w:ind w:left="312" w:hanging="312"/>
        <w:spacing w:after="0"/>
        <w:tabs>
          <w:tab w:leader="none" w:pos="31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 CREDIT FACILITY</w:t>
      </w:r>
    </w:p>
    <w:p>
      <w:pPr>
        <w:spacing w:after="0" w:line="188" w:lineRule="exact"/>
        <w:rPr>
          <w:rFonts w:ascii="Times New Roman" w:cs="Times New Roman" w:eastAsia="Times New Roman" w:hAnsi="Times New Roman"/>
          <w:sz w:val="18"/>
          <w:szCs w:val="18"/>
          <w:b w:val="1"/>
          <w:bCs w:val="1"/>
          <w:color w:val="auto"/>
        </w:rPr>
      </w:pPr>
    </w:p>
    <w:p>
      <w:pPr>
        <w:ind w:left="33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acquisition of Novitium on November 19, 2021, the Company, as borrower, entered into a credit agreement (the “2021 Credit Agreement”) with Truist Bank and other lenders, which provided for credit facilities consisting of (i) a senior secured term loan facility in an aggregate principal amount of $300.0 million (the “2021 Term Facility”) and (ii) a senior secured revolving credit facility in an aggregate commitment amount of $40.0 million, which provided for revolving credit loans, swingline loans and letters of credit (the “2021 Revolving Facility,” and together with the 2021 Term Facility, the “2021 Credit Facility”).</w:t>
      </w:r>
    </w:p>
    <w:p>
      <w:pPr>
        <w:spacing w:after="0" w:line="200" w:lineRule="exact"/>
        <w:rPr>
          <w:sz w:val="20"/>
          <w:szCs w:val="20"/>
          <w:color w:val="auto"/>
        </w:rPr>
      </w:pPr>
    </w:p>
    <w:p>
      <w:pPr>
        <w:spacing w:after="0" w:line="21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45" w:right="359" w:bottom="1440" w:gutter="0" w:footer="0" w:header="0"/>
        </w:sectPr>
      </w:pPr>
    </w:p>
    <w:bookmarkStart w:id="15" w:name="page16"/>
    <w:bookmarkEnd w:id="15"/>
    <w:p>
      <w:pPr>
        <w:ind w:left="332" w:right="20"/>
        <w:spacing w:after="0" w:line="261" w:lineRule="auto"/>
        <w:rPr>
          <w:sz w:val="20"/>
          <w:szCs w:val="20"/>
          <w:color w:val="auto"/>
        </w:rPr>
      </w:pPr>
      <w:r>
        <w:rPr>
          <w:rFonts w:ascii="Times New Roman" w:cs="Times New Roman" w:eastAsia="Times New Roman" w:hAnsi="Times New Roman"/>
          <w:sz w:val="18"/>
          <w:szCs w:val="18"/>
          <w:color w:val="auto"/>
        </w:rPr>
        <w:t>The Company incurred $14.0 million in deferred debt issuance costs associated with the 2021 Credit Facility. Costs allocated to the 2021 Term Facility were classified as a direct reduction to the current and non-current portion of the borrowings, depending on their nature. Costs allocated to the 2021 Revolving Facility were classified as other current and other non-current assets, depending on their nature. A commitment fee of 0.5% per annum is assessed on any unused portion of the 2021 Revolving Facility.</w:t>
      </w:r>
    </w:p>
    <w:p>
      <w:pPr>
        <w:spacing w:after="0" w:line="14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i w:val="1"/>
          <w:iCs w:val="1"/>
          <w:color w:val="auto"/>
        </w:rPr>
        <w:t>Extinguishment of the 2021 Credit Facility</w:t>
      </w:r>
    </w:p>
    <w:p>
      <w:pPr>
        <w:spacing w:after="0" w:line="189" w:lineRule="exact"/>
        <w:rPr>
          <w:sz w:val="20"/>
          <w:szCs w:val="20"/>
          <w:color w:val="auto"/>
        </w:rPr>
      </w:pPr>
    </w:p>
    <w:p>
      <w:pPr>
        <w:ind w:left="332" w:right="200"/>
        <w:spacing w:after="0" w:line="247" w:lineRule="auto"/>
        <w:rPr>
          <w:sz w:val="20"/>
          <w:szCs w:val="20"/>
          <w:color w:val="auto"/>
        </w:rPr>
      </w:pPr>
      <w:r>
        <w:rPr>
          <w:rFonts w:ascii="Times New Roman" w:cs="Times New Roman" w:eastAsia="Times New Roman" w:hAnsi="Times New Roman"/>
          <w:sz w:val="18"/>
          <w:szCs w:val="18"/>
          <w:color w:val="auto"/>
        </w:rPr>
        <w:t>On August 13, 2024, the Company entered into an indenture with U.S. Bank Trust Company, National Association, as trustee, for the issuance of the Notes (as defined and described in Note 5 “2.25% Convertible Senior Notes” to the notes to the condensed consolidated financial statements (unaudited)). The proceeds of the Notes and cash on-hand were used to repay the 2021 Credit Facility in its entirety, approximately $294.0 million, comprised of $292.5 million of unpaid principal, $1.2 million in accrued and unpaid interest, and $0.3 million of legal fees. In connection with the issuance of the Notes, the Company recorded a loss on debt extinguishment in the consolidated statement of operations for the year ended December 31, 2024, amounting to approximately $7.5 million, comprised of the write-off of unamortized deferred financing fees related to the 2021 Credit Facility as of August 13, 2024.</w:t>
      </w:r>
    </w:p>
    <w:p>
      <w:pPr>
        <w:spacing w:after="0" w:line="138" w:lineRule="exact"/>
        <w:rPr>
          <w:sz w:val="20"/>
          <w:szCs w:val="20"/>
          <w:color w:val="auto"/>
        </w:rPr>
      </w:pPr>
    </w:p>
    <w:p>
      <w:pPr>
        <w:ind w:left="312" w:hanging="312"/>
        <w:spacing w:after="0"/>
        <w:tabs>
          <w:tab w:leader="none" w:pos="31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2024 CREDIT AGREEMENT</w:t>
      </w:r>
    </w:p>
    <w:p>
      <w:pPr>
        <w:spacing w:after="0" w:line="256" w:lineRule="exact"/>
        <w:rPr>
          <w:rFonts w:ascii="Times New Roman" w:cs="Times New Roman" w:eastAsia="Times New Roman" w:hAnsi="Times New Roman"/>
          <w:sz w:val="18"/>
          <w:szCs w:val="18"/>
          <w:b w:val="1"/>
          <w:bCs w:val="1"/>
          <w:color w:val="auto"/>
        </w:rPr>
      </w:pPr>
    </w:p>
    <w:p>
      <w:pPr>
        <w:ind w:left="332" w:right="2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13, 2024, the Company, as lead borrower, and ANIP Acquisition Company, as initial subsidiary borrower (“ANIP”) entered into a credit agreement (the “2024 Credit Agreement”) with JPMorgan Chase Bank, N.A., as administrative agent, and the financial institutions party thereto as lenders (collectively, the “Lenders”), which provides for aggregate principal commitments consisting of (i) a senior secured delayed-draw term loan facility in an aggregate principal amount of $325.0 million (the “Term Loan A” or “TLA”), and (ii) a senior secured revolving credit facility in an aggregate commitment amount of $75.0 million, which may be used for revolving credit loans, swingline loans and letters of credit (the “TLA Revolver” and together with the TLA, the “2024 Credit Facility”).</w:t>
      </w:r>
    </w:p>
    <w:p>
      <w:pPr>
        <w:spacing w:after="0" w:line="204" w:lineRule="exact"/>
        <w:rPr>
          <w:rFonts w:ascii="Times New Roman" w:cs="Times New Roman" w:eastAsia="Times New Roman" w:hAnsi="Times New Roman"/>
          <w:sz w:val="18"/>
          <w:szCs w:val="18"/>
          <w:b w:val="1"/>
          <w:bCs w:val="1"/>
          <w:color w:val="auto"/>
        </w:rPr>
      </w:pPr>
    </w:p>
    <w:p>
      <w:pPr>
        <w:ind w:left="332" w:right="18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16, 2024 (the “2024 Credit Agreement Closing Date”), ANIP drew the full $325.0 million of Term Loan A principal, with proceeds used to finance the acquisition of Alimera, including fees, costs and expenses incurred in connection with the acquisition. As of September 30, 2026, $74.9 million is available for borrowing under the TLA Revolver. The TLA and the TLA Revolver mature on September 16, 2029. The 2024 Credit Facility contains certain contingent acceleration clauses that could result in an earlier maturity date, none of which have been triggered as of September 30, 2026.</w:t>
      </w:r>
    </w:p>
    <w:p>
      <w:pPr>
        <w:spacing w:after="0" w:line="204"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cash interest rate and effective rate under the Term Loan A was approximately 6.29% and 6.65% per annum at September 30, 2026, respectively.</w:t>
      </w:r>
    </w:p>
    <w:p>
      <w:pPr>
        <w:spacing w:after="0" w:line="252" w:lineRule="exact"/>
        <w:rPr>
          <w:rFonts w:ascii="Times New Roman" w:cs="Times New Roman" w:eastAsia="Times New Roman" w:hAnsi="Times New Roman"/>
          <w:sz w:val="18"/>
          <w:szCs w:val="18"/>
          <w:b w:val="1"/>
          <w:bCs w:val="1"/>
          <w:color w:val="auto"/>
        </w:rPr>
      </w:pPr>
    </w:p>
    <w:p>
      <w:pPr>
        <w:ind w:left="332" w:right="3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2024 Credit Facility is secured by a lien on substantially all of the Company’s and its principal domestic subsidiary’s assets and any future domestic subsidiary guarantors’ assets. The 2024 Credit Facility is subject to customary financial and nonfinancial covenants. As of September 30, 2026, the Company was in compliance with all covenants associated with the 2024 Credit Facility.</w:t>
      </w:r>
    </w:p>
    <w:p>
      <w:pPr>
        <w:spacing w:after="0" w:line="196" w:lineRule="exact"/>
        <w:rPr>
          <w:rFonts w:ascii="Times New Roman" w:cs="Times New Roman" w:eastAsia="Times New Roman" w:hAnsi="Times New Roman"/>
          <w:sz w:val="18"/>
          <w:szCs w:val="18"/>
          <w:b w:val="1"/>
          <w:bCs w:val="1"/>
          <w:color w:val="auto"/>
        </w:rPr>
      </w:pPr>
    </w:p>
    <w:p>
      <w:pPr>
        <w:ind w:left="332"/>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is required to make quarterly principal payments, beginning on December 31, 2024, in the amount of (i) 0.625% of the original principal amount of the Term Loan A on each quarterly payment date on or prior to the one year anniversary of the 2024 Credit Agreement Closing Date, (ii)</w:t>
      </w:r>
    </w:p>
    <w:p>
      <w:pPr>
        <w:ind w:left="332" w:right="2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 of the original principal amount of the Term Loan A on each quarterly payment date following the one year anniversary of the 2024 Credit Agreement Closing Date, and (iii) 1.875% of the original principal amount of the Term Loan A on each quarterly payment date following the three year anniversary of the 2024 Credit Agreement Closing Date and with the remaining unpaid principal amount due on the maturity date of the Term Loan A. A commitment fee accrues on the unutilized commitments under the TLA Revolver and, from and after the date that is two months after the closing date of the 2024 Credit Agreement, the TLA at a per annum rate between 0.25% and 0.40% depending on the Company’s first lien net leverage ratio.</w:t>
      </w:r>
    </w:p>
    <w:p>
      <w:pPr>
        <w:spacing w:after="0" w:line="226" w:lineRule="exact"/>
        <w:rPr>
          <w:rFonts w:ascii="Times New Roman" w:cs="Times New Roman" w:eastAsia="Times New Roman" w:hAnsi="Times New Roman"/>
          <w:sz w:val="18"/>
          <w:szCs w:val="18"/>
          <w:b w:val="1"/>
          <w:bCs w:val="1"/>
          <w:color w:val="auto"/>
        </w:rPr>
      </w:pPr>
    </w:p>
    <w:p>
      <w:pPr>
        <w:ind w:left="332" w:right="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incurred $5.0 million in deferred debt issuance costs associated with the TLA, which costs are classified as a direct reduction to the current and non-current portion of debt. The Company incurred $1.1 million in deferred debt issuance costs associated with the TLA Revolver. Of the $0.7 million of unamortized deferred debt issuance costs allocated to the TLA Revolver, $0.5 million is included in other non-current assets in the unaudited condensed consolidated balance sheets, and $0.2 million is included in prepaid expenses and other current assets in the unaudited condensed consolidated balance sheets.</w:t>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45"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The carrying value of the current and non-current components of the Term Loan A as of September 30, 2026 and December 31, 2025 are:</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jc w:val="center"/>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auto"/>
            </w:tcBorders>
            <w:vMerge w:val="continue"/>
          </w:tcPr>
          <w:p>
            <w:pPr>
              <w:spacing w:after="0"/>
              <w:rPr>
                <w:sz w:val="21"/>
                <w:szCs w:val="21"/>
                <w:color w:val="auto"/>
              </w:rPr>
            </w:pPr>
          </w:p>
        </w:tc>
        <w:tc>
          <w:tcPr>
            <w:tcW w:w="1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borrowing on debt</w:t>
            </w:r>
          </w:p>
        </w:tc>
        <w:tc>
          <w:tcPr>
            <w:tcW w:w="180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24,375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18,281</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8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6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debt, net</w:t>
            </w:r>
          </w:p>
        </w:tc>
        <w:tc>
          <w:tcPr>
            <w:tcW w:w="1800" w:type="dxa"/>
            <w:vAlign w:val="bottom"/>
            <w:tcBorders>
              <w:bottom w:val="single" w:sz="8" w:color="auto"/>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23,362</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17,268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15"/>
                <w:szCs w:val="15"/>
                <w:color w:val="auto"/>
              </w:rPr>
            </w:pPr>
          </w:p>
        </w:tc>
        <w:tc>
          <w:tcPr>
            <w:tcW w:w="2120" w:type="dxa"/>
            <w:vAlign w:val="bottom"/>
            <w:gridSpan w:val="2"/>
          </w:tcPr>
          <w:p>
            <w:pPr>
              <w:ind w:left="28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borrowing on debt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294,531</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62"/>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274,314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291,840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contractual maturity of the Term Loan A is as follows for the years ending December 31: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 Term Loan A</w:t>
            </w: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 of the year)</w:t>
            </w:r>
          </w:p>
        </w:tc>
        <w:tc>
          <w:tcPr>
            <w:tcW w:w="3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245,781</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300,625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right="6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total interest expense, net recognized in the accompanying unaudited condensed consolidated statements of operations for the three and nine months ended September 30, 2026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0"/>
                <w:szCs w:val="20"/>
                <w:color w:val="auto"/>
              </w:rPr>
            </w:pPr>
          </w:p>
        </w:tc>
        <w:tc>
          <w:tcPr>
            <w:tcW w:w="35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340" w:type="dxa"/>
            <w:vAlign w:val="bottom"/>
          </w:tcPr>
          <w:p>
            <w:pPr>
              <w:spacing w:after="0"/>
              <w:rPr>
                <w:sz w:val="21"/>
                <w:szCs w:val="21"/>
                <w:color w:val="auto"/>
              </w:rPr>
            </w:pPr>
          </w:p>
        </w:tc>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1"/>
                <w:szCs w:val="21"/>
                <w:color w:val="auto"/>
              </w:rPr>
            </w:pPr>
          </w:p>
        </w:tc>
      </w:tr>
      <w:tr>
        <w:trPr>
          <w:trHeight w:val="205"/>
        </w:trPr>
        <w:tc>
          <w:tcPr>
            <w:tcW w:w="340" w:type="dxa"/>
            <w:vAlign w:val="bottom"/>
          </w:tcPr>
          <w:p>
            <w:pPr>
              <w:spacing w:after="0"/>
              <w:rPr>
                <w:sz w:val="17"/>
                <w:szCs w:val="17"/>
                <w:color w:val="auto"/>
              </w:rPr>
            </w:pPr>
          </w:p>
        </w:tc>
        <w:tc>
          <w:tcPr>
            <w:tcW w:w="37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Contractual coupon interest expense, 2024 Credit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r>
      <w:tr>
        <w:trPr>
          <w:trHeight w:val="248"/>
        </w:trPr>
        <w:tc>
          <w:tcPr>
            <w:tcW w:w="340" w:type="dxa"/>
            <w:vAlign w:val="bottom"/>
          </w:tcPr>
          <w:p>
            <w:pPr>
              <w:spacing w:after="0"/>
              <w:rPr>
                <w:sz w:val="21"/>
                <w:szCs w:val="21"/>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(16,806)</w:t>
            </w:r>
          </w:p>
        </w:tc>
        <w:tc>
          <w:tcPr>
            <w:tcW w:w="360" w:type="dxa"/>
            <w:vAlign w:val="bottom"/>
          </w:tcPr>
          <w:p>
            <w:pPr>
              <w:spacing w:after="0"/>
              <w:rPr>
                <w:sz w:val="21"/>
                <w:szCs w:val="21"/>
                <w:color w:val="auto"/>
              </w:rPr>
            </w:pPr>
          </w:p>
        </w:tc>
      </w:tr>
      <w:tr>
        <w:trPr>
          <w:trHeight w:val="225"/>
        </w:trPr>
        <w:tc>
          <w:tcPr>
            <w:tcW w:w="34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coupon interest expense, Convertible</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41"/>
        </w:trPr>
        <w:tc>
          <w:tcPr>
            <w:tcW w:w="34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360" w:type="dxa"/>
            <w:vAlign w:val="bottom"/>
          </w:tcPr>
          <w:p>
            <w:pPr>
              <w:spacing w:after="0"/>
              <w:rPr>
                <w:sz w:val="20"/>
                <w:szCs w:val="20"/>
                <w:color w:val="auto"/>
              </w:rPr>
            </w:pPr>
          </w:p>
        </w:tc>
      </w:tr>
      <w:tr>
        <w:trPr>
          <w:trHeight w:val="277"/>
        </w:trPr>
        <w:tc>
          <w:tcPr>
            <w:tcW w:w="340" w:type="dxa"/>
            <w:vAlign w:val="bottom"/>
          </w:tcPr>
          <w:p>
            <w:pPr>
              <w:spacing w:after="0"/>
              <w:rPr>
                <w:sz w:val="24"/>
                <w:szCs w:val="24"/>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36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(24,607)</w:t>
            </w:r>
          </w:p>
        </w:tc>
        <w:tc>
          <w:tcPr>
            <w:tcW w:w="360" w:type="dxa"/>
            <w:vAlign w:val="bottom"/>
          </w:tcPr>
          <w:p>
            <w:pPr>
              <w:spacing w:after="0"/>
              <w:rPr>
                <w:sz w:val="22"/>
                <w:szCs w:val="22"/>
                <w:color w:val="auto"/>
              </w:rPr>
            </w:pPr>
          </w:p>
        </w:tc>
      </w:tr>
      <w:tr>
        <w:trPr>
          <w:trHeight w:val="211"/>
        </w:trPr>
        <w:tc>
          <w:tcPr>
            <w:tcW w:w="34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 related to Construction in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48"/>
        </w:trPr>
        <w:tc>
          <w:tcPr>
            <w:tcW w:w="340" w:type="dxa"/>
            <w:vAlign w:val="bottom"/>
          </w:tcPr>
          <w:p>
            <w:pPr>
              <w:spacing w:after="0"/>
              <w:rPr>
                <w:sz w:val="21"/>
                <w:szCs w:val="21"/>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60" w:type="dxa"/>
            <w:vAlign w:val="bottom"/>
          </w:tcPr>
          <w:p>
            <w:pPr>
              <w:spacing w:after="0"/>
              <w:rPr>
                <w:sz w:val="21"/>
                <w:szCs w:val="21"/>
                <w:color w:val="auto"/>
              </w:rPr>
            </w:pPr>
          </w:p>
        </w:tc>
      </w:tr>
      <w:tr>
        <w:trPr>
          <w:trHeight w:val="263"/>
        </w:trPr>
        <w:tc>
          <w:tcPr>
            <w:tcW w:w="34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 on bank balances</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360" w:type="dxa"/>
            <w:vAlign w:val="bottom"/>
          </w:tcPr>
          <w:p>
            <w:pPr>
              <w:spacing w:after="0"/>
              <w:rPr>
                <w:sz w:val="22"/>
                <w:szCs w:val="22"/>
                <w:color w:val="auto"/>
              </w:rPr>
            </w:pPr>
          </w:p>
        </w:tc>
      </w:tr>
      <w:tr>
        <w:trPr>
          <w:trHeight w:val="277"/>
        </w:trPr>
        <w:tc>
          <w:tcPr>
            <w:tcW w:w="340" w:type="dxa"/>
            <w:vAlign w:val="bottom"/>
          </w:tcPr>
          <w:p>
            <w:pPr>
              <w:spacing w:after="0"/>
              <w:rPr>
                <w:sz w:val="24"/>
                <w:szCs w:val="24"/>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interest rate swap</w:t>
            </w:r>
          </w:p>
        </w:tc>
        <w:tc>
          <w:tcPr>
            <w:tcW w:w="20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36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360" w:type="dxa"/>
            <w:vAlign w:val="bottom"/>
          </w:tcPr>
          <w:p>
            <w:pPr>
              <w:spacing w:after="0"/>
              <w:rPr>
                <w:sz w:val="22"/>
                <w:szCs w:val="22"/>
                <w:color w:val="auto"/>
              </w:rPr>
            </w:pPr>
          </w:p>
        </w:tc>
      </w:tr>
      <w:tr>
        <w:trPr>
          <w:trHeight w:val="288"/>
        </w:trPr>
        <w:tc>
          <w:tcPr>
            <w:tcW w:w="340" w:type="dxa"/>
            <w:vAlign w:val="bottom"/>
          </w:tcPr>
          <w:p>
            <w:pPr>
              <w:spacing w:after="0"/>
              <w:rPr>
                <w:sz w:val="24"/>
                <w:szCs w:val="24"/>
                <w:color w:val="auto"/>
              </w:rPr>
            </w:pPr>
          </w:p>
        </w:tc>
        <w:tc>
          <w:tcPr>
            <w:tcW w:w="3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3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737"/>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7" w:name="page18"/>
    <w:bookmarkEnd w:id="17"/>
    <w:p>
      <w:pPr>
        <w:ind w:left="340" w:right="7660" w:hanging="332"/>
        <w:spacing w:after="0" w:line="491" w:lineRule="auto"/>
        <w:tabs>
          <w:tab w:leader="none" w:pos="331"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2.25% CONVERTIBLE SENIOR NOTES </w:t>
      </w:r>
      <w:r>
        <w:rPr>
          <w:rFonts w:ascii="Times New Roman" w:cs="Times New Roman" w:eastAsia="Times New Roman" w:hAnsi="Times New Roman"/>
          <w:sz w:val="17"/>
          <w:szCs w:val="17"/>
          <w:b w:val="1"/>
          <w:bCs w:val="1"/>
          <w:i w:val="1"/>
          <w:iCs w:val="1"/>
          <w:color w:val="auto"/>
        </w:rPr>
        <w:t>Offering of Convertible Senior Notes</w:t>
      </w:r>
    </w:p>
    <w:p>
      <w:pPr>
        <w:ind w:left="340" w:right="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August 7, 2024, the Company entered into a purchase agreement (the “Purchase Agreement”) with the initial purchasers party thereto (the “Initial Purchasers”) relating to the issuance of the $275.0 million aggregate principal amount of the Company’s Convertible Senior Notes due 2029 (the “Notes”). Pursuant to the terms of the Purchase Agreement, the Company granted the Initial Purchasers an option to purchase up to an additional $41.3 million aggregate principal amount of Notes (the “Option”) for settlement at any time during the 13 day period beginning on, and including, August 7, 2024, which Option was exercised in full on August 8, 2024.</w:t>
      </w:r>
    </w:p>
    <w:p>
      <w:pPr>
        <w:spacing w:after="0" w:line="142" w:lineRule="exact"/>
        <w:rPr>
          <w:rFonts w:ascii="Times New Roman" w:cs="Times New Roman" w:eastAsia="Times New Roman" w:hAnsi="Times New Roman"/>
          <w:sz w:val="17"/>
          <w:szCs w:val="17"/>
          <w:b w:val="1"/>
          <w:bCs w:val="1"/>
          <w:color w:val="auto"/>
        </w:rPr>
      </w:pPr>
    </w:p>
    <w:p>
      <w:pPr>
        <w:ind w:left="340" w:right="2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August 13, 2024 (the “Closing Date” or “Issue Date”), the Company completed an offering of $316.3 million aggregate principal amount of Notes. The Notes were issued pursuant to an indenture (the “Indenture”) dated as of August 13, 2024 between the Company and U.S. Bank Trust Company, National Association (the “Trustee”). The Notes are due September 1, 2029, unless earlier repurchased, redeemed, or converted. The Notes will accrue interest at a rate of 2.25% per annum, payable semi-annually in arrears on March 1 and September 1 of each year, beginning on March 1, 2025. After deducting the Initial Purchasers’ discounts and commissions of approximately $9.5 million, but before deducting the Company’s offering expenses, the net proceeds to the Company from the offering of the Notes were approximately $306.8 million. After payment of the cost of entering into the Capped Calls (as defined below), the Company used the remainder of the net proceeds from the Notes offering, together with cash on hand, to repay in full the outstanding unpaid principal and accrued and unpaid interest under a credit agreement the Company had previously entered into in 2021.</w:t>
      </w:r>
    </w:p>
    <w:p>
      <w:pPr>
        <w:spacing w:after="0" w:line="164" w:lineRule="exact"/>
        <w:rPr>
          <w:rFonts w:ascii="Times New Roman" w:cs="Times New Roman" w:eastAsia="Times New Roman" w:hAnsi="Times New Roman"/>
          <w:sz w:val="17"/>
          <w:szCs w:val="17"/>
          <w:b w:val="1"/>
          <w:bCs w:val="1"/>
          <w:color w:val="auto"/>
        </w:rPr>
      </w:pPr>
    </w:p>
    <w:p>
      <w:pPr>
        <w:ind w:left="340" w:right="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Conversion Options</w:t>
      </w:r>
    </w:p>
    <w:p>
      <w:pPr>
        <w:spacing w:after="0" w:line="175" w:lineRule="exact"/>
        <w:rPr>
          <w:sz w:val="20"/>
          <w:szCs w:val="20"/>
          <w:color w:val="auto"/>
        </w:rPr>
      </w:pPr>
    </w:p>
    <w:p>
      <w:pPr>
        <w:ind w:left="340" w:right="80"/>
        <w:spacing w:after="0" w:line="270"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June 1, 2029, holders of the Notes will have the right to convert their Notes only upon the occurrence of certain events as set forth in the Indenture. All or any portion of the Notes may be converted prior to June 1, 2029 at the holders’ option upon the occurrence of any of the following: (i) during any calendar quarter (and only during such calendar quarter) commencing after the calendar quarter ending on September 30, 2024, if the last reported sale price per share of the Company’s common stock exceeds 130% of the conversion price of the Notes for each of at least 20 trading days, whether or not consecutive,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of the Notes on such trading day; (iii) upon the occurrence of certain corporate events or distributions on the Company’s common stock, as described in the Indenture; or (iv) if the Company calls such Notes for redemption.</w:t>
      </w:r>
    </w:p>
    <w:p>
      <w:pPr>
        <w:spacing w:after="0" w:line="150"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On or after June 1, 2029 until the close of business on the second scheduled trading day immediately before the maturity date of the Notes, holders may convert all or any portion of their Notes at any time at their election. The initial conversion rate for the Notes is 13.4929 shares of the Company’s common stock per $1,000 principal amount of Notes, which represents an initial conversion price of approximately $74.11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holders that convert their Notes in connection with such Make-Whole Fundamental Change, as described in the Indenture.</w:t>
      </w:r>
    </w:p>
    <w:p>
      <w:pPr>
        <w:spacing w:after="0" w:line="148"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Upon conversion of the Notes, the Company will pay cash up to the aggregate principal amount of the Notes to be converted and pay or deliver, as the case may be, cash, shares of the Company’s common stock or a combination of cash and shares of the Company’s common stock, at the Company’s election, in respect of the remainder, if any, of the Company’s conversion obligation.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8" w:name="page19"/>
    <w:bookmarkEnd w:id="18"/>
    <w:p>
      <w:pPr>
        <w:ind w:right="20"/>
        <w:spacing w:after="0" w:line="269" w:lineRule="auto"/>
        <w:rPr>
          <w:sz w:val="20"/>
          <w:szCs w:val="20"/>
          <w:color w:val="auto"/>
        </w:rPr>
      </w:pPr>
      <w:r>
        <w:rPr>
          <w:rFonts w:ascii="Times New Roman" w:cs="Times New Roman" w:eastAsia="Times New Roman" w:hAnsi="Times New Roman"/>
          <w:sz w:val="17"/>
          <w:szCs w:val="17"/>
          <w:color w:val="auto"/>
        </w:rPr>
        <w:t>The Notes will be redeemable, in whole or in part (subject to certain limitations described below), at the Company’s option at any time, and from time to time, on or after September 1, 2027 and on or before the 61st scheduled trading day immediately before the maturity date, but only if (i) the Notes are “Freely Tradable” (as defined in the Indenture) as of the date the Company sends the related redemption notice and all accrued and unpaid additional interest, if any, has been paid in full as of the first interest payment date occurring on or before the date the Company sends the related redemption notice; and (ii)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such redemption notice; and (2) the trading day immediately before the date the Company sends such redemption notice. However, the Company may not redeem less than all of the outstanding Notes unless at least $75.0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with a conversion date that is on or after the date the Company sends the related redemption notice and on or before the second business day immediately before the related redemption date.</w:t>
      </w:r>
    </w:p>
    <w:p>
      <w:pPr>
        <w:spacing w:after="0" w:line="1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Indenture) occur, then, subject to a limited exception for certain cash mergers, holders of the Notes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75"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The Notes include customary provisions relating to the occurrence of “Events of Default” (as defined in the Indenture), including breaches of covenants, breaches of warranty, change of control, nonpayment, bankruptcy, assignment, foreclosure, cessation of business, and defaults under ancillary documents. Certain of the Events of Default are subject to notice and cure periods. As of September 30, 2026, the Company was in compliance with all covenants associated with the Notes.</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Debt issuance costs related to the Notes totaled $11.2 million at inception and were comprised of discounts and commissions payable to the Initial Purchasers and third-party offering costs and will be amortized to interest expense using the effective interest method over the contractual term. As of September 30, 2026 and December 31, 2025, the unamortized debt discount and debt issuance costs of the Notes were approximately $6.7 million and $8.3 million, respectively, on the unaudited condensed consolidated balance sheets. The effective interest rate during the quarter ended September 30, 2026 was 3.01%.</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the Notes did not meet any of the circumstances that would allow for a conversion. The Notes were therefore not convertible as of September 30, 2026, and were classified as long-term debt on the Company’s unaudited condensed consolidated balance sheet as of September 30,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total estimated fair value (which represents a Level 2 valuation) of the Notes is approximately $374.6 million.</w:t>
      </w:r>
    </w:p>
    <w:p>
      <w:pPr>
        <w:spacing w:after="0" w:line="1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recognized $1.8 million and $1.8 million of contractual coupon interest expense and $0.5 million and $0.5 million of interest expense related to the amortization of deferred financing costs for the three months ended September 30, 2026 and 2025, respectively. The Company recognized $5.3 million and $5.3 million of contractual coupon interest expense and $1.6 million and $1.6 million of interest expense related to the amortization of deferred financing costs for the nine months ended September 30, 2026 and 2025,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of Notes, on August 7, 2024 and August 8, 2024, the Company entered into capped call transactions with certain financial institutions (“Capped Calls”). The Capped Calls each have an initial cap price of $114.02, which represents a premium of 100% over the last reported sale price of the Company’s common stock on August 7, 2024. The Company used approximately $40.6 million of the net proceeds from the offering of the Notes to pay premiums on the Capped Calls.</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Capped Calls are expected to generally reduce potential dilution to the Company’s common stock upon any conversion of the Notes and/or offset any cash payments the Company is required to make in excess of the principal amount of converted Notes. The Capped Calls cover, subject to anti-dilution adjustments, approximately 4.3 million shares of the Company’s common stock.</w:t>
      </w:r>
    </w:p>
    <w:p>
      <w:pPr>
        <w:spacing w:after="0" w:line="39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945" w:right="359" w:bottom="1440" w:gutter="0" w:footer="0" w:header="0"/>
        </w:sectPr>
      </w:pPr>
    </w:p>
    <w:bookmarkStart w:id="19" w:name="page20"/>
    <w:bookmarkEnd w:id="19"/>
    <w:p>
      <w:pPr>
        <w:ind w:left="332"/>
        <w:spacing w:after="0" w:line="245" w:lineRule="auto"/>
        <w:rPr>
          <w:sz w:val="20"/>
          <w:szCs w:val="20"/>
          <w:color w:val="auto"/>
        </w:rPr>
      </w:pPr>
      <w:r>
        <w:rPr>
          <w:rFonts w:ascii="Times New Roman" w:cs="Times New Roman" w:eastAsia="Times New Roman" w:hAnsi="Times New Roman"/>
          <w:sz w:val="18"/>
          <w:szCs w:val="18"/>
          <w:color w:val="auto"/>
        </w:rPr>
        <w:t>The Capped Calls will expire upon the maturity of the Notes. The Capped Calls are separate transactions entered into by the Company with the financial institution counterparties thereto, and are not part of the terms of the Notes. Further, the Capped Calls do not change the holders’ rights under the Notes and do not meet the criteria for separate accounting as a derivative as they meet the criteria for equity classification. The premiums on the Capped Calls are recorded as a reduction to Additional Paid-In Capital within Stockholders’ Equity, net of deferred income taxes.</w:t>
      </w:r>
    </w:p>
    <w:p>
      <w:pPr>
        <w:spacing w:after="0" w:line="150" w:lineRule="exact"/>
        <w:rPr>
          <w:sz w:val="20"/>
          <w:szCs w:val="20"/>
          <w:color w:val="auto"/>
        </w:rPr>
      </w:pPr>
    </w:p>
    <w:p>
      <w:pPr>
        <w:ind w:left="312" w:hanging="312"/>
        <w:spacing w:after="0"/>
        <w:tabs>
          <w:tab w:leader="none" w:pos="31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88" w:lineRule="exact"/>
        <w:rPr>
          <w:rFonts w:ascii="Times New Roman" w:cs="Times New Roman" w:eastAsia="Times New Roman" w:hAnsi="Times New Roman"/>
          <w:sz w:val="18"/>
          <w:szCs w:val="18"/>
          <w:b w:val="1"/>
          <w:bCs w:val="1"/>
          <w:color w:val="auto"/>
        </w:rPr>
      </w:pPr>
    </w:p>
    <w:p>
      <w:pPr>
        <w:ind w:left="33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is computed by dividing net income available to common stockholders by the weighted-average number of shares of common stock outstanding during the period.</w:t>
      </w:r>
    </w:p>
    <w:p>
      <w:pPr>
        <w:spacing w:after="0" w:line="134" w:lineRule="exact"/>
        <w:rPr>
          <w:rFonts w:ascii="Times New Roman" w:cs="Times New Roman" w:eastAsia="Times New Roman" w:hAnsi="Times New Roman"/>
          <w:sz w:val="18"/>
          <w:szCs w:val="18"/>
          <w:b w:val="1"/>
          <w:bCs w:val="1"/>
          <w:color w:val="auto"/>
        </w:rPr>
      </w:pPr>
    </w:p>
    <w:p>
      <w:pPr>
        <w:ind w:left="332" w:right="2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periods of net income, and when the effects are not anti-dilutive, the Company calculates diluted earnings per share by dividing net income available to common stockholders by the weighted-average number of shares outstanding plus the impact of all potential dilutive shares of common stock, consisting of shares issuable upon conversion of the Notes, common stock options, shares to be purchased under the 2016 Employee Stock Purchase Plan (“ESPP”), and performance stock units, using the more dilutive of the treasury stock or the two-class method. For periods of net loss, diluted loss per share is calculated similarly to basic loss per share.</w:t>
      </w:r>
    </w:p>
    <w:p>
      <w:pPr>
        <w:spacing w:after="0" w:line="142" w:lineRule="exact"/>
        <w:rPr>
          <w:rFonts w:ascii="Times New Roman" w:cs="Times New Roman" w:eastAsia="Times New Roman" w:hAnsi="Times New Roman"/>
          <w:sz w:val="18"/>
          <w:szCs w:val="18"/>
          <w:b w:val="1"/>
          <w:bCs w:val="1"/>
          <w:color w:val="auto"/>
        </w:rPr>
      </w:pPr>
    </w:p>
    <w:p>
      <w:pPr>
        <w:ind w:left="33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Unvested restricted shares and shares of Series A convertible preferred stock (prior to their conversion into shares of common stock during 2025) contain non-forfeitable rights to dividends, and therefore are considered to be participating securities; in periods of net income, the calculation of basic and diluted earnings (loss) per share excludes from the numerator net income (but not net loss) attributable to the unvested restricted shares and the shares of common stock assumed converted from the preferred shares and excludes the impact of those shares from the denominator. The Company’s participating securities do not have a contractual obligation to share in the Company’s losses. As such, the net loss is attributed entirely to common stockholders.</w:t>
      </w:r>
    </w:p>
    <w:p>
      <w:pPr>
        <w:spacing w:after="0" w:line="146" w:lineRule="exact"/>
        <w:rPr>
          <w:rFonts w:ascii="Times New Roman" w:cs="Times New Roman" w:eastAsia="Times New Roman" w:hAnsi="Times New Roman"/>
          <w:sz w:val="18"/>
          <w:szCs w:val="18"/>
          <w:b w:val="1"/>
          <w:bCs w:val="1"/>
          <w:color w:val="auto"/>
        </w:rPr>
      </w:pPr>
    </w:p>
    <w:p>
      <w:pPr>
        <w:ind w:left="332" w:righ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Earnings per share for the three and nine months ended September 30, 2026 and 2025 are calculated for basic and diluted earnings per share as follows:</w:t>
      </w:r>
    </w:p>
    <w:p>
      <w:pPr>
        <w:spacing w:after="0" w:line="185"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5"/>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5"/>
                <w:szCs w:val="15"/>
                <w:color w:val="auto"/>
              </w:rPr>
            </w:pPr>
          </w:p>
        </w:tc>
        <w:tc>
          <w:tcPr>
            <w:tcW w:w="1840" w:type="dxa"/>
            <w:vAlign w:val="bottom"/>
            <w:gridSpan w:val="4"/>
          </w:tcPr>
          <w:p>
            <w:pPr>
              <w:jc w:val="center"/>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80" w:type="dxa"/>
            <w:vAlign w:val="bottom"/>
          </w:tcPr>
          <w:p>
            <w:pPr>
              <w:spacing w:after="0"/>
              <w:rPr>
                <w:sz w:val="15"/>
                <w:szCs w:val="15"/>
                <w:color w:val="auto"/>
              </w:rPr>
            </w:pPr>
          </w:p>
        </w:tc>
        <w:tc>
          <w:tcPr>
            <w:tcW w:w="1820" w:type="dxa"/>
            <w:vAlign w:val="bottom"/>
            <w:gridSpan w:val="4"/>
          </w:tcPr>
          <w:p>
            <w:pPr>
              <w:jc w:val="center"/>
              <w:ind w:right="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8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8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174"/>
        </w:trPr>
        <w:tc>
          <w:tcPr>
            <w:tcW w:w="22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(in thousands, except per</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share amounts)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2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Net income available to</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49,690</w:t>
            </w:r>
          </w:p>
        </w:tc>
        <w:tc>
          <w:tcPr>
            <w:tcW w:w="0" w:type="dxa"/>
            <w:vAlign w:val="bottom"/>
          </w:tcPr>
          <w:p>
            <w:pPr>
              <w:spacing w:after="0"/>
              <w:rPr>
                <w:sz w:val="1"/>
                <w:szCs w:val="1"/>
                <w:color w:val="auto"/>
              </w:rPr>
            </w:pPr>
          </w:p>
        </w:tc>
      </w:tr>
      <w:tr>
        <w:trPr>
          <w:trHeight w:val="189"/>
        </w:trPr>
        <w:tc>
          <w:tcPr>
            <w:tcW w:w="22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Earnings allocated to</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169"/>
        </w:trPr>
        <w:tc>
          <w:tcPr>
            <w:tcW w:w="22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Net income available to</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32,767</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83,142</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44,830</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83,277</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w:t>
            </w: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14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Weighted-Average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Dilutive effect of convertible</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senior notes, common stock</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options, ESPP, and</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stock units</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Diluted Weighted-Average</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20,911</w:t>
            </w: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32"/>
        <w:spacing w:after="0" w:line="261" w:lineRule="auto"/>
        <w:rPr>
          <w:sz w:val="20"/>
          <w:szCs w:val="20"/>
          <w:color w:val="auto"/>
        </w:rPr>
      </w:pPr>
      <w:r>
        <w:rPr>
          <w:rFonts w:ascii="Times New Roman" w:cs="Times New Roman" w:eastAsia="Times New Roman" w:hAnsi="Times New Roman"/>
          <w:sz w:val="18"/>
          <w:szCs w:val="18"/>
          <w:color w:val="auto"/>
        </w:rPr>
        <w:t>The number of shares of potentially dilutive securities excluded from the computation of diluted earnings per share was 1.6 million and 1.6 million for the three months ended September 30, 2026 and 2025, respectively, because including them would have been anti-dilutive. The number of shares of potentially dilutive securities excluded from the computation of diluted earnings per share was 1.6 million and 2.1 million for the nine months ended September 30, 2026 and 2025, respectively, because including them would have been anti-dilutive.</w:t>
      </w:r>
    </w:p>
    <w:p>
      <w:pPr>
        <w:spacing w:after="0" w:line="39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56" w:right="399" w:bottom="1440" w:gutter="0" w:footer="0" w:header="0"/>
        </w:sectPr>
      </w:pPr>
    </w:p>
    <w:bookmarkStart w:id="20" w:name="page21"/>
    <w:bookmarkEnd w:id="20"/>
    <w:p>
      <w:pPr>
        <w:ind w:left="312" w:hanging="312"/>
        <w:spacing w:after="0"/>
        <w:tabs>
          <w:tab w:leader="none" w:pos="31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2"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Company’s inventory by asset class as of the dates indicated:</w:t>
      </w:r>
    </w:p>
    <w:p>
      <w:pPr>
        <w:spacing w:after="0" w:line="235"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6"/>
        </w:trPr>
        <w:tc>
          <w:tcPr>
            <w:tcW w:w="68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71,540</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84,106</w:t>
            </w:r>
          </w:p>
        </w:tc>
      </w:tr>
      <w:tr>
        <w:trPr>
          <w:trHeight w:val="243"/>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Work-in-progress</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43"/>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59,767</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55,988</w:t>
            </w:r>
          </w:p>
        </w:tc>
      </w:tr>
      <w:tr>
        <w:trPr>
          <w:trHeight w:val="237"/>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136,411</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143,067</w:t>
            </w:r>
          </w:p>
        </w:tc>
      </w:tr>
      <w:tr>
        <w:trPr>
          <w:trHeight w:val="21"/>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Vendor Concentration</w:t>
      </w:r>
    </w:p>
    <w:p>
      <w:pPr>
        <w:spacing w:after="0" w:line="189" w:lineRule="exact"/>
        <w:rPr>
          <w:sz w:val="20"/>
          <w:szCs w:val="20"/>
          <w:color w:val="auto"/>
        </w:rPr>
      </w:pPr>
    </w:p>
    <w:p>
      <w:pPr>
        <w:ind w:left="332" w:right="40"/>
        <w:spacing w:after="0" w:line="258" w:lineRule="auto"/>
        <w:rPr>
          <w:sz w:val="20"/>
          <w:szCs w:val="20"/>
          <w:color w:val="auto"/>
        </w:rPr>
      </w:pPr>
      <w:r>
        <w:rPr>
          <w:rFonts w:ascii="Times New Roman" w:cs="Times New Roman" w:eastAsia="Times New Roman" w:hAnsi="Times New Roman"/>
          <w:sz w:val="18"/>
          <w:szCs w:val="18"/>
          <w:color w:val="auto"/>
        </w:rPr>
        <w:t>Raw materials are sourced for products, including active pharmaceutical ingredients (“API”), from both domestic and international suppliers. Generally, only a single source of API is qualified for use in each product due to the cost and time required to validate a second source of supply. As a result, the Company is dependent upon its current vendors to reliably supply the API required for on-going product manufacturing. As of September 30, 2026 and December 31, 2025, approximately 26% and 17% of the Company's raw material inventory purchases were from one domestic supplier, respectively.</w:t>
      </w:r>
    </w:p>
    <w:p>
      <w:pPr>
        <w:spacing w:after="0" w:line="152" w:lineRule="exact"/>
        <w:rPr>
          <w:sz w:val="20"/>
          <w:szCs w:val="20"/>
          <w:color w:val="auto"/>
        </w:rPr>
      </w:pPr>
    </w:p>
    <w:p>
      <w:pPr>
        <w:ind w:left="332" w:right="7480" w:hanging="332"/>
        <w:spacing w:after="0" w:line="456" w:lineRule="auto"/>
        <w:tabs>
          <w:tab w:leader="none" w:pos="323"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Goodwill</w:t>
      </w:r>
    </w:p>
    <w:p>
      <w:pPr>
        <w:ind w:left="332"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2026, the Company has three reporting units, Generics and Other, Brands, and Rare Disease reporting units. The Company's goodwill is assigned to Generics and Other and Rare Disease reporting units. There have been no events or changes in circumstances that would have reduced the fair value of the reporting units below their carrying value during the three and nine months ended September 30, 2026, and 2025, respectively, and as a result, no impairment charges have been recognized.</w:t>
      </w:r>
    </w:p>
    <w:p>
      <w:pPr>
        <w:spacing w:after="0" w:line="148"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88"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net definite-lived intangible assets, other than goodwill, are as follows:</w:t>
      </w:r>
    </w:p>
    <w:p>
      <w:pPr>
        <w:spacing w:after="0" w:line="248" w:lineRule="exact"/>
        <w:rPr>
          <w:sz w:val="20"/>
          <w:szCs w:val="20"/>
          <w:color w:val="auto"/>
        </w:rPr>
      </w:pPr>
    </w:p>
    <w:tbl>
      <w:tblPr>
        <w:tblLayout w:type="fixed"/>
        <w:tblInd w:w="332"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4"/>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4"/>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4"/>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vMerge w:val="restart"/>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vMerge w:val="restart"/>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4"/>
                <w:szCs w:val="14"/>
                <w:color w:val="auto"/>
              </w:rPr>
            </w:pPr>
          </w:p>
        </w:tc>
        <w:tc>
          <w:tcPr>
            <w:tcW w:w="86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4"/>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Period </w:t>
            </w:r>
            <w:r>
              <w:rPr>
                <w:rFonts w:ascii="Times New Roman" w:cs="Times New Roman" w:eastAsia="Times New Roman" w:hAnsi="Times New Roman"/>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4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ANDAs intangible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(147,511)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 years</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NDAs and product rights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679,804</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(305,828)</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673,554</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(271,818)</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401,736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 years</w:t>
            </w:r>
          </w:p>
        </w:tc>
        <w:tc>
          <w:tcPr>
            <w:tcW w:w="0" w:type="dxa"/>
            <w:vAlign w:val="bottom"/>
          </w:tcPr>
          <w:p>
            <w:pPr>
              <w:spacing w:after="0"/>
              <w:rPr>
                <w:sz w:val="1"/>
                <w:szCs w:val="1"/>
                <w:color w:val="auto"/>
              </w:rPr>
            </w:pPr>
          </w:p>
        </w:tc>
      </w:tr>
      <w:tr>
        <w:trPr>
          <w:trHeight w:val="243"/>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and distribution rights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(16,195)</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 years</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(14,821)</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 years</w:t>
            </w:r>
          </w:p>
        </w:tc>
        <w:tc>
          <w:tcPr>
            <w:tcW w:w="0" w:type="dxa"/>
            <w:vAlign w:val="bottom"/>
          </w:tcPr>
          <w:p>
            <w:pPr>
              <w:spacing w:after="0"/>
              <w:rPr>
                <w:sz w:val="1"/>
                <w:szCs w:val="1"/>
                <w:color w:val="auto"/>
              </w:rPr>
            </w:pPr>
          </w:p>
        </w:tc>
      </w:tr>
      <w:tr>
        <w:trPr>
          <w:trHeight w:val="23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936,878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(503,769)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433,109</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929,871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(450,345)</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479,526</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8.7 years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54" w:lineRule="exact"/>
        <w:rPr>
          <w:sz w:val="20"/>
          <w:szCs w:val="20"/>
          <w:color w:val="auto"/>
        </w:rPr>
      </w:pPr>
    </w:p>
    <w:p>
      <w:pPr>
        <w:ind w:left="632" w:hanging="308"/>
        <w:spacing w:after="0"/>
        <w:tabs>
          <w:tab w:leader="none" w:pos="632"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amortization period as of September 30, 2026.</w:t>
      </w:r>
    </w:p>
    <w:p>
      <w:pPr>
        <w:spacing w:after="0" w:line="171" w:lineRule="exact"/>
        <w:rPr>
          <w:sz w:val="20"/>
          <w:szCs w:val="20"/>
          <w:color w:val="auto"/>
        </w:rPr>
      </w:pPr>
    </w:p>
    <w:p>
      <w:pPr>
        <w:ind w:left="332" w:right="180"/>
        <w:spacing w:after="0" w:line="261" w:lineRule="auto"/>
        <w:rPr>
          <w:sz w:val="20"/>
          <w:szCs w:val="20"/>
          <w:color w:val="auto"/>
        </w:rPr>
      </w:pPr>
      <w:r>
        <w:rPr>
          <w:rFonts w:ascii="Times New Roman" w:cs="Times New Roman" w:eastAsia="Times New Roman" w:hAnsi="Times New Roman"/>
          <w:sz w:val="18"/>
          <w:szCs w:val="18"/>
          <w:color w:val="auto"/>
        </w:rPr>
        <w:t>Definite-lived intangible assets arising from business combinations and other asset acquisitions include intangibles such as Abbreviated New Drug Applications (“ANDAs”), New Drug Applications (“NDAs”) and product rights, marketing and distribution rights, customer relationships, and non-compete agreements. Definite-lived intangible assets are tested for impairment when events or changes in circumstances indicate that these assets might be impaired.</w:t>
      </w:r>
    </w:p>
    <w:p>
      <w:pPr>
        <w:spacing w:after="0" w:line="193" w:lineRule="exact"/>
        <w:rPr>
          <w:sz w:val="20"/>
          <w:szCs w:val="20"/>
          <w:color w:val="auto"/>
        </w:rPr>
      </w:pPr>
    </w:p>
    <w:p>
      <w:pPr>
        <w:ind w:left="332"/>
        <w:spacing w:after="0" w:line="242" w:lineRule="auto"/>
        <w:rPr>
          <w:sz w:val="20"/>
          <w:szCs w:val="20"/>
          <w:color w:val="auto"/>
        </w:rPr>
      </w:pPr>
      <w:r>
        <w:rPr>
          <w:rFonts w:ascii="Times New Roman" w:cs="Times New Roman" w:eastAsia="Times New Roman" w:hAnsi="Times New Roman"/>
          <w:sz w:val="18"/>
          <w:szCs w:val="18"/>
          <w:color w:val="auto"/>
        </w:rPr>
        <w:t>During January 2026, the Company acquired approximately $6.3 million of definite-lived intangible assets consisting of product rights, patents, know-how, and trade secrets that were capitalized pursuant to the Patent Purchase Agreement between Nuray Chemicals Private Limited (“Nuray”) and the Company.</w:t>
      </w:r>
    </w:p>
    <w:p>
      <w:pPr>
        <w:spacing w:after="0" w:line="211" w:lineRule="exact"/>
        <w:rPr>
          <w:sz w:val="20"/>
          <w:szCs w:val="20"/>
          <w:color w:val="auto"/>
        </w:rPr>
      </w:pPr>
    </w:p>
    <w:p>
      <w:pPr>
        <w:ind w:left="332" w:right="100"/>
        <w:spacing w:after="0" w:line="242" w:lineRule="auto"/>
        <w:rPr>
          <w:sz w:val="20"/>
          <w:szCs w:val="20"/>
          <w:color w:val="auto"/>
        </w:rPr>
      </w:pPr>
      <w:r>
        <w:rPr>
          <w:rFonts w:ascii="Times New Roman" w:cs="Times New Roman" w:eastAsia="Times New Roman" w:hAnsi="Times New Roman"/>
          <w:sz w:val="18"/>
          <w:szCs w:val="18"/>
          <w:color w:val="auto"/>
        </w:rPr>
        <w:t>Amortization expense for definite-lived intangibles was $17.3 million and $53.4 million for the three and nine months ended September 30, 2026, respectively. Amortization expense for definite-lived intangibles was $20.4 million and $62.2 million for the three and nine months ended September 30, 2025, respectively.</w:t>
      </w:r>
    </w:p>
    <w:p>
      <w:pPr>
        <w:sectPr>
          <w:pgSz w:w="11900" w:h="16838" w:orient="portrait"/>
          <w:cols w:equalWidth="0" w:num="1">
            <w:col w:w="11172"/>
          </w:cols>
          <w:pgMar w:left="328" w:top="941" w:right="3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941" w:right="399" w:bottom="1440" w:gutter="0" w:footer="0" w:header="0"/>
          <w:type w:val="continuous"/>
        </w:sectPr>
      </w:pPr>
    </w:p>
    <w:bookmarkStart w:id="21" w:name="page22"/>
    <w:bookmarkEnd w:id="21"/>
    <w:p>
      <w:pPr>
        <w:ind w:left="332"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$15.8 million was reclassified from indefinite-lived In-Process Research &amp; Development (“IPR&amp;D”) to definite-lived NDAs and product rights related to the commercialization of certain products, and will be amortized over ten years. As of September 30, 2026 and December 31, 2025 there was no IPR&amp;D on the unaudited condensed consolidated balance sheets.</w:t>
      </w:r>
    </w:p>
    <w:p>
      <w:pPr>
        <w:spacing w:after="0" w:line="149" w:lineRule="exact"/>
        <w:rPr>
          <w:sz w:val="20"/>
          <w:szCs w:val="20"/>
          <w:color w:val="auto"/>
        </w:rPr>
      </w:pPr>
    </w:p>
    <w:p>
      <w:pPr>
        <w:ind w:left="332" w:right="40"/>
        <w:spacing w:after="0" w:line="266" w:lineRule="auto"/>
        <w:rPr>
          <w:sz w:val="20"/>
          <w:szCs w:val="20"/>
          <w:color w:val="auto"/>
        </w:rPr>
      </w:pPr>
      <w:r>
        <w:rPr>
          <w:rFonts w:ascii="Times New Roman" w:cs="Times New Roman" w:eastAsia="Times New Roman" w:hAnsi="Times New Roman"/>
          <w:sz w:val="18"/>
          <w:szCs w:val="18"/>
          <w:color w:val="auto"/>
        </w:rPr>
        <w:t>There were no impairment charges during the three and nine months ended September 30, 2026. The Company recognized approximately $0.8 million of impairment charges during the three and nine months ended September 30, 2025, related to one product for which the Company ceased commercialization.</w:t>
      </w:r>
    </w:p>
    <w:p>
      <w:pPr>
        <w:spacing w:after="0" w:line="131" w:lineRule="exact"/>
        <w:rPr>
          <w:sz w:val="20"/>
          <w:szCs w:val="20"/>
          <w:color w:val="auto"/>
        </w:rPr>
      </w:pPr>
    </w:p>
    <w:p>
      <w:pPr>
        <w:ind w:left="332" w:right="8580" w:hanging="332"/>
        <w:spacing w:after="0" w:line="464" w:lineRule="auto"/>
        <w:tabs>
          <w:tab w:leader="none" w:pos="32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Authorized shares</w:t>
      </w:r>
    </w:p>
    <w:p>
      <w:pPr>
        <w:ind w:left="332"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held its 2025 Annual Meeting of Stockholders (the “2025 Annual Meeting”) on May 22, 2025. At the 2025 Annual Meeting, the stockholders of the Company approved an amendment to the Company’s Restated Certificate of Incorporation to increase the number of authorized shares of common stock from 33.3 million shares to 66.0 million shares.</w:t>
      </w:r>
    </w:p>
    <w:p>
      <w:pPr>
        <w:spacing w:after="0" w:line="135" w:lineRule="exact"/>
        <w:rPr>
          <w:rFonts w:ascii="Times New Roman" w:cs="Times New Roman" w:eastAsia="Times New Roman" w:hAnsi="Times New Roman"/>
          <w:sz w:val="18"/>
          <w:szCs w:val="18"/>
          <w:b w:val="1"/>
          <w:bCs w:val="1"/>
          <w:color w:val="auto"/>
        </w:rPr>
      </w:pPr>
    </w:p>
    <w:p>
      <w:pPr>
        <w:jc w:val="both"/>
        <w:ind w:left="332"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authorized to issue up to 66.0 million shares of common stock with a par value of $0.0001 per share, 0.8 million shares of class C special stock with a par value of $0.0001 per share, and 1.7 million shares of undesignated preferred stock with a par value of $0.0001 per share at September 30, 2026.</w:t>
      </w:r>
    </w:p>
    <w:p>
      <w:pPr>
        <w:spacing w:after="0" w:line="135" w:lineRule="exact"/>
        <w:rPr>
          <w:rFonts w:ascii="Times New Roman" w:cs="Times New Roman" w:eastAsia="Times New Roman" w:hAnsi="Times New Roman"/>
          <w:sz w:val="18"/>
          <w:szCs w:val="18"/>
          <w:b w:val="1"/>
          <w:bCs w:val="1"/>
          <w:color w:val="auto"/>
        </w:rPr>
      </w:pPr>
    </w:p>
    <w:p>
      <w:pPr>
        <w:ind w:left="332"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23.9 million shares of common stock issued and 22.9 million shares of common stock outstanding as of September 30, 2026 and 23.1 million shares of common stock issued and 22.5 million shares of common stock outstanding as of December 31, 2025.</w:t>
      </w:r>
    </w:p>
    <w:p>
      <w:pPr>
        <w:spacing w:after="0" w:line="130"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8" w:lineRule="exact"/>
        <w:rPr>
          <w:rFonts w:ascii="Times New Roman" w:cs="Times New Roman" w:eastAsia="Times New Roman" w:hAnsi="Times New Roman"/>
          <w:sz w:val="18"/>
          <w:szCs w:val="18"/>
          <w:b w:val="1"/>
          <w:bCs w:val="1"/>
          <w:color w:val="auto"/>
        </w:rPr>
      </w:pPr>
    </w:p>
    <w:p>
      <w:pPr>
        <w:ind w:left="332"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2026, the Company’s Board of Directors approved a share repurchase program authorizing the Company to repurchase up to $100.0 million of the Company’s common stock (the “Share Repurchase Program”). Under the Share Repurchase Program, the Company is authorized to repurchase shares from time to time, at management’s discretion, through open market purchases, privately-negotiated transactions or otherwise in accordance with applicable federal securities laws, including through Rule 10b5-1 trading plans and under Rule 10b-18 of the Exchange Act. The specific timing and amount of repurchases, if any, will vary based on available capital resources and other financial and operational performance, market conditions, securities law limitations, and other factors. The repurchases will be made using the Company's cash resources. The Company is not obligated to repurchase any shares under the Share Repurchase Program. Treasury stock purchases are accounted for under the cost method whereby the entire cost of the acquired stock is recorded as treasury stock, including any direct costs incurred to acquire such stock. Repurchases of common stock are accounted for as of the trade date, and are held as treasury stock until they are retired or re-issued.</w:t>
      </w:r>
    </w:p>
    <w:p>
      <w:pPr>
        <w:spacing w:after="0" w:line="147" w:lineRule="exact"/>
        <w:rPr>
          <w:rFonts w:ascii="Times New Roman" w:cs="Times New Roman" w:eastAsia="Times New Roman" w:hAnsi="Times New Roman"/>
          <w:sz w:val="18"/>
          <w:szCs w:val="18"/>
          <w:b w:val="1"/>
          <w:bCs w:val="1"/>
          <w:color w:val="auto"/>
        </w:rPr>
      </w:pPr>
    </w:p>
    <w:p>
      <w:pPr>
        <w:ind w:left="332"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September 30, 2026, the Company repurchased 102,492 shares of its common stock for an aggregate purchase price of approximately $7.5 million, including direct costs associated with the repurchases. As of September 30, 2026, 6,600 of such shares had not yet settled, and the purchase price of approximately $0.5 million with respect to these shares is included within Accounts payable on the unaudited condensed consolidated balance sheet.</w:t>
      </w:r>
    </w:p>
    <w:p>
      <w:pPr>
        <w:spacing w:after="0" w:line="148"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Class C Special Stock</w:t>
      </w:r>
    </w:p>
    <w:p>
      <w:pPr>
        <w:spacing w:after="0" w:line="188" w:lineRule="exact"/>
        <w:rPr>
          <w:rFonts w:ascii="Times New Roman" w:cs="Times New Roman" w:eastAsia="Times New Roman" w:hAnsi="Times New Roman"/>
          <w:sz w:val="18"/>
          <w:szCs w:val="18"/>
          <w:b w:val="1"/>
          <w:bCs w:val="1"/>
          <w:color w:val="auto"/>
        </w:rPr>
      </w:pPr>
    </w:p>
    <w:p>
      <w:pPr>
        <w:ind w:left="332"/>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There were 10,864 shares of class C special stock issued and outstanding as of September 30, 2026 and December 31, 2025. Each share of class C special stock entitles its holder to one vote per share. Each share of class C special stock is exchangeable, at the option of the holder, for one share of the Company’s common stock, at an exchange price of $90.00 per share, subject to adjustment upon certain capitalization events. Holders of class C special stock are not entitled to receive dividends or to participate in the distribution of the Company’s assets upon liquidation, dissolution, or winding-up the Company. The holders of class C special stock have no cumulative voting, preemptive, subscription, redemption, or sinking fund rights.</w:t>
      </w:r>
    </w:p>
    <w:p>
      <w:pPr>
        <w:spacing w:after="0" w:line="123" w:lineRule="exact"/>
        <w:rPr>
          <w:rFonts w:ascii="Times New Roman" w:cs="Times New Roman" w:eastAsia="Times New Roman" w:hAnsi="Times New Roman"/>
          <w:sz w:val="18"/>
          <w:szCs w:val="18"/>
          <w:b w:val="1"/>
          <w:bCs w:val="1"/>
          <w:color w:val="auto"/>
        </w:rPr>
      </w:pPr>
    </w:p>
    <w:p>
      <w:pPr>
        <w:ind w:left="332" w:right="9500"/>
        <w:spacing w:after="0" w:line="49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Mezzanine Equity </w:t>
      </w:r>
      <w:r>
        <w:rPr>
          <w:rFonts w:ascii="Times New Roman" w:cs="Times New Roman" w:eastAsia="Times New Roman" w:hAnsi="Times New Roman"/>
          <w:sz w:val="17"/>
          <w:szCs w:val="17"/>
          <w:b w:val="1"/>
          <w:bCs w:val="1"/>
          <w:i w:val="1"/>
          <w:iCs w:val="1"/>
          <w:color w:val="auto"/>
        </w:rPr>
        <w:t>PIPE Shares</w:t>
      </w:r>
    </w:p>
    <w:p>
      <w:pPr>
        <w:ind w:left="332"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8, 2021, concurrently with the entry into the merger agreement for the acquisition of Novitium, and as financing for a portion of the acquisition, the Company entered into an Equity Commitment and Investment Agreement with Ampersand 2020 Limited Partnership (the “PIPE Investor”), pursuant to which the PIPE Investor agreed to purchase 25,000 shares of the Company’s Series A convertible preferred stock (the “PIPE Shares”), for a purchase price of $1,000 per share and an aggregate purchase price of $25.0 million on November 19, 2021.</w:t>
      </w:r>
    </w:p>
    <w:p>
      <w:pPr>
        <w:spacing w:after="0" w:line="200" w:lineRule="exact"/>
        <w:rPr>
          <w:sz w:val="20"/>
          <w:szCs w:val="20"/>
          <w:color w:val="auto"/>
        </w:rPr>
      </w:pPr>
    </w:p>
    <w:p>
      <w:pPr>
        <w:spacing w:after="0" w:line="20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45" w:right="359" w:bottom="1440" w:gutter="0" w:footer="0" w:header="0"/>
        </w:sectPr>
      </w:pPr>
    </w:p>
    <w:bookmarkStart w:id="22" w:name="page23"/>
    <w:bookmarkEnd w:id="22"/>
    <w:p>
      <w:pPr>
        <w:ind w:left="340" w:right="60"/>
        <w:spacing w:after="0" w:line="282" w:lineRule="auto"/>
        <w:rPr>
          <w:sz w:val="20"/>
          <w:szCs w:val="20"/>
          <w:color w:val="auto"/>
        </w:rPr>
      </w:pPr>
      <w:r>
        <w:rPr>
          <w:rFonts w:ascii="Times New Roman" w:cs="Times New Roman" w:eastAsia="Times New Roman" w:hAnsi="Times New Roman"/>
          <w:sz w:val="18"/>
          <w:szCs w:val="18"/>
          <w:color w:val="auto"/>
        </w:rPr>
        <w:t>The PIPE Shares were classified as mezzanine equity because the shares were mandatorily redeemable for cash upon a change in control, an event that would not have been solely in the Company’s control.</w:t>
      </w:r>
    </w:p>
    <w:p>
      <w:pPr>
        <w:spacing w:after="0" w:line="135" w:lineRule="exact"/>
        <w:rPr>
          <w:sz w:val="20"/>
          <w:szCs w:val="20"/>
          <w:color w:val="auto"/>
        </w:rPr>
      </w:pPr>
    </w:p>
    <w:p>
      <w:pPr>
        <w:ind w:left="340" w:right="60"/>
        <w:spacing w:after="0" w:line="277" w:lineRule="auto"/>
        <w:rPr>
          <w:sz w:val="20"/>
          <w:szCs w:val="20"/>
          <w:color w:val="auto"/>
        </w:rPr>
      </w:pPr>
      <w:r>
        <w:rPr>
          <w:rFonts w:ascii="Times New Roman" w:cs="Times New Roman" w:eastAsia="Times New Roman" w:hAnsi="Times New Roman"/>
          <w:sz w:val="17"/>
          <w:szCs w:val="17"/>
          <w:color w:val="auto"/>
        </w:rPr>
        <w:t>The PIPE Shares accrued dividends at 6.50% per year on a cumulative basis, payable in cash or in-kind, and participated, on a pro-rata basis, in any dividends that would have been declared with respect to the Company’s common stock. The PIPE Shares were convertible into shares of the Company’s common stock at the conversion price of $41.4662 (i) beginning two years after their issuance date, at the election of ANI (in which case the PIPE Investor must convert all of the PIPE Shares), if the volume-weighted average price of the Company’s common stock for any 20 trading days out of 30 consecutive trading days exceeded 170% of the conversion price, and (ii) at any time after issuance, at the election of the PIPE Investor.</w:t>
      </w:r>
    </w:p>
    <w:p>
      <w:pPr>
        <w:spacing w:after="0" w:line="12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August 14, 2025, the PIPE Investor converted 5,000 PIPE Shares into 120,580 shares of common stock based on the conversion price of $41.4662 per share. On September 26, 2025, the Company mandatorily converted the remaining 20,000 outstanding PIPE Shares into 482,320 shares of common stock based on the conversion price of $41.4662 per share, as the conditions for conversion had been satisfied.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shares of Series A convertible preferred stock outstanding as of September 30, 2026 and December 31, 2025.</w:t>
      </w:r>
    </w:p>
    <w:p>
      <w:pPr>
        <w:spacing w:after="0" w:line="194" w:lineRule="exact"/>
        <w:rPr>
          <w:sz w:val="20"/>
          <w:szCs w:val="20"/>
          <w:color w:val="auto"/>
        </w:rPr>
      </w:pPr>
    </w:p>
    <w:p>
      <w:pPr>
        <w:ind w:left="340" w:right="8020" w:hanging="332"/>
        <w:spacing w:after="0" w:line="483" w:lineRule="auto"/>
        <w:tabs>
          <w:tab w:leader="none" w:pos="421"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Employee Stock Purchase Plan</w:t>
      </w: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In July 2016, the Company commenced administration of the ESPP. Under the ESPP, participants can purchase shares of common stock at a 15% discount on the lowest share price on the first day of the purchase period or the last day of the purchase period.</w:t>
      </w:r>
    </w:p>
    <w:p>
      <w:pPr>
        <w:spacing w:after="0" w:line="135" w:lineRule="exact"/>
        <w:rPr>
          <w:sz w:val="20"/>
          <w:szCs w:val="20"/>
          <w:color w:val="auto"/>
        </w:rPr>
      </w:pPr>
    </w:p>
    <w:p>
      <w:pPr>
        <w:ind w:left="340" w:right="340"/>
        <w:spacing w:after="0" w:line="266" w:lineRule="auto"/>
        <w:rPr>
          <w:sz w:val="20"/>
          <w:szCs w:val="20"/>
          <w:color w:val="auto"/>
        </w:rPr>
      </w:pPr>
      <w:r>
        <w:rPr>
          <w:rFonts w:ascii="Times New Roman" w:cs="Times New Roman" w:eastAsia="Times New Roman" w:hAnsi="Times New Roman"/>
          <w:sz w:val="18"/>
          <w:szCs w:val="18"/>
          <w:color w:val="auto"/>
        </w:rPr>
        <w:t>During the 2025 Annual Meeting, the stockholders of the Company approved an amendment to the ESPP. Subject to adjustment, the Amended and Restated ANI Pharmaceuticals, Inc. 2016 Employee Stock Purchase Plan (the “Amended and Restated ESPP”), authorized the issuance of an additional 500,000 shares.</w:t>
      </w:r>
    </w:p>
    <w:p>
      <w:pPr>
        <w:spacing w:after="0" w:line="135" w:lineRule="exact"/>
        <w:rPr>
          <w:sz w:val="20"/>
          <w:szCs w:val="20"/>
          <w:color w:val="auto"/>
        </w:rPr>
      </w:pPr>
    </w:p>
    <w:p>
      <w:pPr>
        <w:ind w:left="340" w:right="80"/>
        <w:spacing w:after="0" w:line="461" w:lineRule="auto"/>
        <w:rPr>
          <w:sz w:val="20"/>
          <w:szCs w:val="20"/>
          <w:color w:val="auto"/>
        </w:rPr>
      </w:pPr>
      <w:r>
        <w:rPr>
          <w:rFonts w:ascii="Times New Roman" w:cs="Times New Roman" w:eastAsia="Times New Roman" w:hAnsi="Times New Roman"/>
          <w:sz w:val="18"/>
          <w:szCs w:val="18"/>
          <w:color w:val="auto"/>
        </w:rPr>
        <w:t xml:space="preserve">As of September 30, 2026, there are approximately 0.5 million shares of common stock available for issuance under the Amended and Restated ESPP. </w:t>
      </w:r>
      <w:r>
        <w:rPr>
          <w:rFonts w:ascii="Times New Roman" w:cs="Times New Roman" w:eastAsia="Times New Roman" w:hAnsi="Times New Roman"/>
          <w:sz w:val="18"/>
          <w:szCs w:val="18"/>
          <w:b w:val="1"/>
          <w:bCs w:val="1"/>
          <w:color w:val="auto"/>
        </w:rPr>
        <w:t>Stock Incentive Plan</w:t>
      </w:r>
    </w:p>
    <w:p>
      <w:pPr>
        <w:spacing w:after="0" w:line="1"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The Company held its 2026 Annual Meeting of Stockholders (the “2026 Annual Meeting”) on May 21, 2026. During the 2026 Annual Meeting, the stockholders of the Company approved an amendment to the Amended 2022 Stock Plan (such amendment, the “2026 Stock Plan Amendment”, and the Amended 2022 Stock Plan, after giving effect to the 2026 Stock Plan Amendment, the “Second Amended 2022 Stock Plan”). The 2026 Stock Plan Amendment authorized the issuance of an additional 962,000 shares pursuant to the Second Amended 2022 Stock Plan, which have been registered on a Form S-8 Registration Statement filed with the SEC on July 17, 2026. As of September 30, 2026, approximately 2.2 million shares of common stock were available for issuance under the Second Amended 2022 Stock Plan.</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stock options granted to employees and consultants generally vest over a period of four years and have 10-year contractual terms.</w:t>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stock options granted to non-employee directors generally vest over a period of one to four years and have 10-year contractual terms.</w:t>
      </w:r>
    </w:p>
    <w:p>
      <w:pPr>
        <w:ind w:left="340"/>
        <w:spacing w:after="0"/>
        <w:rPr>
          <w:sz w:val="20"/>
          <w:szCs w:val="20"/>
          <w:color w:val="auto"/>
        </w:rPr>
      </w:pPr>
      <w:r>
        <w:rPr>
          <w:rFonts w:ascii="Times New Roman" w:cs="Times New Roman" w:eastAsia="Times New Roman" w:hAnsi="Times New Roman"/>
          <w:sz w:val="18"/>
          <w:szCs w:val="18"/>
          <w:color w:val="auto"/>
        </w:rPr>
        <w:t>There were no grants of stock options during fiscal 2026 or 2025.</w:t>
      </w:r>
    </w:p>
    <w:p>
      <w:pPr>
        <w:spacing w:after="0" w:line="165" w:lineRule="exact"/>
        <w:rPr>
          <w:sz w:val="20"/>
          <w:szCs w:val="20"/>
          <w:color w:val="auto"/>
        </w:rPr>
      </w:pPr>
    </w:p>
    <w:p>
      <w:pPr>
        <w:ind w:left="340" w:right="80"/>
        <w:spacing w:after="0" w:line="277" w:lineRule="auto"/>
        <w:rPr>
          <w:sz w:val="20"/>
          <w:szCs w:val="20"/>
          <w:color w:val="auto"/>
        </w:rPr>
      </w:pPr>
      <w:r>
        <w:rPr>
          <w:rFonts w:ascii="Times New Roman" w:cs="Times New Roman" w:eastAsia="Times New Roman" w:hAnsi="Times New Roman"/>
          <w:sz w:val="17"/>
          <w:szCs w:val="17"/>
          <w:color w:val="auto"/>
        </w:rPr>
        <w:t>From time to time, stock options are granted to employees through an inducement grant outside of the Second Amended 2022 Stock Plan to induce prospective employees to accept employment with the Company (the “Inducement Grants”). The options are granted at an exercise price equal to the fair market value of a share of common stock on the respective grant date and are generally exercisable in four equal annual installments beginning on the first anniversary of the respective grant date. The grants are made pursuant to inducement grants outside of the Company’s stockholder approved equity plan as permitted under the Nasdaq Stock Market listing rules. No Inducement Grants were issued to employees in fiscal 2026 or 2025.</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Restricted stock awards (“RSAs”) granted to employees generally vest over a period of four years. RSAs granted to non-officer directors generally vest over a period of one year. During the vesting period, the recipient of the RSA has full voting rights as a stockholder and would receive dividends, if declared, even though the restricted stock remains subject to transfer restrictions and will generally be forfeited if the recipient is terminated prior to vesting. The fair value of each RSA is based on the market value of the Company’s stock on the date of grant. Upon vesting, unrestricted shares of common stock are delivered to employees and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Restricted stock units (“RSUs”) are typically granted to international employees of the Company under the Second Amended 2022 Stock Plan, and generally vest over a period of four years. Each RSU will entitle the recipient to receive one unrestricted share of common stock upon vesting. The fair value of each RSU is based on the market value of the Company’s stock on the date of grant. The Company began granting RSUs to certain employees during the year ended December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Awards may also be issued in the form of performance stock units (“PSUs”). PSUs represent the right to receive a number of shares of Company common stock, contingent upon the achievement of specified performance objectives during a specified performance period. PSUs granted to date vest over a three-year performance period. The Company has granted PSUs on February 26, 2026 (“2026 PSUs”), February 12, 2025, February 14, 2024, and February 28, 2023 (“2023 PSUs”).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PSUs</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February 26, 2026, as part of the Company’s equity compensation program, the Company granted 65,851 2026 PSUs to employees and officers of the Company under the Second Amended 2022 Stock Plan (including 61,684 PSUs to officers of the Company). Of these 2026 PSUs, 50% were market performance-based restricted stock units (“MPRSUs”), vesting of which is contingent upon the Company meeting certain total shareholder return (“TSR”) levels as compared to a select peer group over the three years starting January 1, 2026, and 50% were performance based restricted stock units (“PRSUs”), vesting of which is contingent upon the Company meeting certain adjusted non-GAAP year-on-year EBITDA growth rates over the three years starting January 1, 2026. The MPRSUs and PRSUs are also subject to the recipient’s continued employment or service through December 31, 2028. The related share-based compensation expense is determined based on the estimated fair value of the underlying shares on the date of grant and is recognized ratably over the vesting term.</w:t>
      </w:r>
    </w:p>
    <w:p>
      <w:pPr>
        <w:spacing w:after="0" w:line="15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estimated grant date fair value per share of the MPRSUs was $111.22 and was calculated using a Monte Carlo simulation model. These MPRSUs are included at 100% of the estimated number of shares at the end of the three-year performance period and are reflected under “Granted” in the table below.</w:t>
      </w:r>
    </w:p>
    <w:p>
      <w:pPr>
        <w:spacing w:after="0" w:line="14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estimated grant date fair value per share of the PRSUs was $77.15 based on the closing price of the stock on the date of grant. These PRSUs are included at 100% of the estimated number of shares at the end of the three-year performance period and are reflected under “Granted” in the table below.</w:t>
      </w:r>
    </w:p>
    <w:p>
      <w:pPr>
        <w:spacing w:after="0" w:line="13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As described above, performance for the 2026 PSUs will be measured over a three-year performance period from January 1, 2026 through December 31, 2028 and will cliff-vest contingent upon the achievement of specified performance objectives. Both the MPRSUs and the PRSUs have a maximum potential to vest at 200%. At each reporting period, the Company analyzes progress on the performance goals to assess the likelihood of achievement.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of 2023 PSUs</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2023 PSUs vested on February 11, 2026. Of the 2023 PSUs, 50% were PRSUs, the vesting of which was contingent upon the Company meeting certain adjusted non-GAAP year-on-year EBITDA growth rates over the three years starting January 1, 2023, and the remaining 50% were MPRSUs, the vesting of which was contingent on the Company meeting certain relative TSR levels as compared against the constituents of the S&amp;P 600 Pharmaceuticals, Biotechnology and Life Sciences Index.</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Performance of the Company was measured from January 1, 2023 to December 31, 2025. The MPRSUs and PRSUs exceeded the maximum growth rates as defined in the award agreements, resulting in a 200% multiplier. The 2023 PSUs were included at 100% of the estimated number of shares at the end of the three-year performance period in the table below. As a result of the achievement of the 200% target of the MPRSUs and PRSUs, an additional amount of 79,600 2023 PSUs were granted, and a total of 159,200 2023 PSUs were vested, and are reflected in the table below in “Granted” and “Options Exercised/PSUs, RSAs, and RSUs Vested,” respectively.</w:t>
      </w:r>
    </w:p>
    <w:p>
      <w:pPr>
        <w:sectPr>
          <w:pgSz w:w="11900" w:h="16838" w:orient="portrait"/>
          <w:cols w:equalWidth="0" w:num="1">
            <w:col w:w="10900"/>
          </w:cols>
          <w:pgMar w:left="660" w:top="941"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41" w:right="339" w:bottom="1440" w:gutter="0" w:footer="0" w:header="0"/>
          <w:type w:val="continuous"/>
        </w:sectPr>
      </w:pPr>
    </w:p>
    <w:bookmarkStart w:id="24" w:name="page25"/>
    <w:bookmarkEnd w:id="24"/>
    <w:p>
      <w:pPr>
        <w:ind w:left="332"/>
        <w:spacing w:after="0"/>
        <w:rPr>
          <w:sz w:val="20"/>
          <w:szCs w:val="20"/>
          <w:color w:val="auto"/>
        </w:rPr>
      </w:pPr>
      <w:r>
        <w:rPr>
          <w:rFonts w:ascii="Times New Roman" w:cs="Times New Roman" w:eastAsia="Times New Roman" w:hAnsi="Times New Roman"/>
          <w:sz w:val="18"/>
          <w:szCs w:val="18"/>
          <w:color w:val="auto"/>
        </w:rPr>
        <w:t>A summary of stock options (including Inducement Grants), RSA, RSU, and PSU activity under the Second Amended 2022 Stock Plan and</w:t>
      </w:r>
    </w:p>
    <w:p>
      <w:pPr>
        <w:spacing w:after="0" w:line="2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Inducement Grants during the nine months ended September 30, 2026 is presented below:</w:t>
      </w:r>
    </w:p>
    <w:p>
      <w:pPr>
        <w:spacing w:after="0" w:line="230"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4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PSUs</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RSAs</w:t>
            </w:r>
          </w:p>
        </w:tc>
        <w:tc>
          <w:tcPr>
            <w:tcW w:w="3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37"/>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Outstanding/Unvested at December 31, 2025</w:t>
            </w: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spacing w:after="0"/>
              <w:rPr>
                <w:sz w:val="21"/>
                <w:szCs w:val="21"/>
                <w:color w:val="auto"/>
              </w:rPr>
            </w:pPr>
          </w:p>
        </w:tc>
        <w:tc>
          <w:tcPr>
            <w:tcW w:w="1460" w:type="dxa"/>
            <w:vAlign w:val="bottom"/>
            <w:gridSpan w:val="3"/>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Exercised/PSUs, RSAs, and RSUs Vested</w:t>
            </w: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Pr>
          <w:p>
            <w:pPr>
              <w:spacing w:after="0"/>
              <w:rPr>
                <w:sz w:val="21"/>
                <w:szCs w:val="21"/>
                <w:color w:val="auto"/>
              </w:rPr>
            </w:pPr>
          </w:p>
        </w:tc>
        <w:tc>
          <w:tcPr>
            <w:tcW w:w="1460" w:type="dxa"/>
            <w:vAlign w:val="bottom"/>
            <w:gridSpan w:val="3"/>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4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Outstanding/Unvested at September 30, 2026</w:t>
            </w:r>
          </w:p>
        </w:tc>
        <w:tc>
          <w:tcPr>
            <w:tcW w:w="1100" w:type="dxa"/>
            <w:vAlign w:val="bottom"/>
            <w:tcBorders>
              <w:top w:val="single" w:sz="8" w:color="auto"/>
              <w:bottom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98" w:lineRule="exact"/>
        <w:rPr>
          <w:sz w:val="20"/>
          <w:szCs w:val="20"/>
          <w:color w:val="auto"/>
        </w:rPr>
      </w:pPr>
    </w:p>
    <w:p>
      <w:pPr>
        <w:ind w:left="652" w:hanging="328"/>
        <w:spacing w:after="0" w:line="235" w:lineRule="auto"/>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284,000 shares purchased from employees to cover employee income taxes related to income earned upon vesting of restricted stock. The shares purchased are held in treasury and the $21.5 million total purchase price for the shares is included in Treasury stock in the accompanying unaudited condensed consolidated balance sheets.</w:t>
      </w:r>
    </w:p>
    <w:p>
      <w:pPr>
        <w:spacing w:after="0" w:line="159" w:lineRule="exact"/>
        <w:rPr>
          <w:sz w:val="20"/>
          <w:szCs w:val="20"/>
          <w:color w:val="auto"/>
        </w:rPr>
      </w:pPr>
    </w:p>
    <w:p>
      <w:pPr>
        <w:jc w:val="both"/>
        <w:ind w:left="332" w:right="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incurred for ESPP expense, stock options, restricted stock awards, restricted stock units, performance-based restricted stock units, and Inducement Grants included in the accompanying unaudited condensed consolidated statements of operations:</w:t>
      </w:r>
    </w:p>
    <w:p>
      <w:pPr>
        <w:spacing w:after="0" w:line="199" w:lineRule="exact"/>
        <w:rPr>
          <w:sz w:val="20"/>
          <w:szCs w:val="20"/>
          <w:color w:val="auto"/>
        </w:rPr>
      </w:pPr>
    </w:p>
    <w:tbl>
      <w:tblPr>
        <w:tblLayout w:type="fixed"/>
        <w:tblInd w:w="332" w:type="dxa"/>
        <w:tblCellMar>
          <w:top w:w="0" w:type="dxa"/>
          <w:left w:w="0" w:type="dxa"/>
          <w:bottom w:w="0" w:type="dxa"/>
          <w:right w:w="0" w:type="dxa"/>
        </w:tblCellMar>
      </w:tblPr>
      <w:tr>
        <w:trPr>
          <w:trHeight w:val="245"/>
        </w:trPr>
        <w:tc>
          <w:tcPr>
            <w:tcW w:w="3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1"/>
                <w:szCs w:val="21"/>
                <w:color w:val="auto"/>
              </w:rPr>
            </w:pPr>
          </w:p>
        </w:tc>
        <w:tc>
          <w:tcPr>
            <w:tcW w:w="30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63"/>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6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7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25,241</w:t>
            </w:r>
          </w:p>
        </w:tc>
      </w:tr>
      <w:tr>
        <w:trPr>
          <w:trHeight w:val="27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33,228</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28,161</w:t>
            </w:r>
          </w:p>
        </w:tc>
      </w:tr>
      <w:tr>
        <w:trPr>
          <w:trHeight w:val="20"/>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92" w:hanging="392"/>
        <w:spacing w:after="0"/>
        <w:tabs>
          <w:tab w:leader="none" w:pos="39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ind w:left="332" w:right="40"/>
        <w:spacing w:after="0" w:line="256" w:lineRule="auto"/>
        <w:rPr>
          <w:sz w:val="20"/>
          <w:szCs w:val="20"/>
          <w:color w:val="auto"/>
        </w:rPr>
      </w:pPr>
      <w:r>
        <w:rPr>
          <w:rFonts w:ascii="Times New Roman" w:cs="Times New Roman" w:eastAsia="Times New Roman" w:hAnsi="Times New Roman"/>
          <w:sz w:val="18"/>
          <w:szCs w:val="18"/>
          <w:color w:val="auto"/>
        </w:rPr>
        <w:t>For interim periods, the Company recognizes an income tax expense (benefit) based on the Company’s estimated annual effective tax rate, calculated on a worldwide consolidated basis, expected for the entire year. The interim annual estimated effective tax rate is based on the statutory tax rates then in effect, as adjusted for estimated changes in estimated permanent differences and excludes certain discrete items whose tax effect, when material, are recognized in the interim period in which they occur. These changes in permanent differences and discrete items result in variances to the effective tax rate from period to period. The Company’s annual effective tax rate changes throughout the year as our ongoing estimates of pre-tax income, and changes in permanent differences are revised, and as discrete items occur.</w:t>
      </w:r>
    </w:p>
    <w:p>
      <w:pPr>
        <w:spacing w:after="0" w:line="133" w:lineRule="exact"/>
        <w:rPr>
          <w:sz w:val="20"/>
          <w:szCs w:val="20"/>
          <w:color w:val="auto"/>
        </w:rPr>
      </w:pPr>
    </w:p>
    <w:p>
      <w:pPr>
        <w:jc w:val="both"/>
        <w:ind w:left="332" w:right="160"/>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2026, the Company recognized an income tax expense of $13.9 million. The Company’s effective tax rate was 28.3% after discrete items for the three months ended September 30, 2026. The effective tax rate differed from the federal statutory rate of 21% primarily due to state taxes and disallowed officers’ compensation.</w:t>
      </w:r>
    </w:p>
    <w:p>
      <w:pPr>
        <w:spacing w:after="0" w:line="150" w:lineRule="exact"/>
        <w:rPr>
          <w:sz w:val="20"/>
          <w:szCs w:val="20"/>
          <w:color w:val="auto"/>
        </w:rPr>
      </w:pPr>
    </w:p>
    <w:p>
      <w:pPr>
        <w:jc w:val="both"/>
        <w:ind w:left="332" w:right="16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recognized an income tax expense of $7.2 million. The Company’s effective tax rate was 21.3% after discrete items for the three months ended September 30, 2025. The effective tax rate differed from the federal statutory rate of 21% primarily due to excess tax benefits recognized upon settlement of stock-based compensation and non-taxable adjustments to the fair value of certain contingent liabilities related to the acquisition of Alimera.</w:t>
      </w:r>
    </w:p>
    <w:p>
      <w:pPr>
        <w:spacing w:after="0" w:line="126" w:lineRule="exact"/>
        <w:rPr>
          <w:sz w:val="20"/>
          <w:szCs w:val="20"/>
          <w:color w:val="auto"/>
        </w:rPr>
      </w:pPr>
    </w:p>
    <w:p>
      <w:pPr>
        <w:jc w:val="both"/>
        <w:ind w:left="332" w:right="220"/>
        <w:spacing w:after="0" w:line="245" w:lineRule="auto"/>
        <w:rPr>
          <w:sz w:val="20"/>
          <w:szCs w:val="20"/>
          <w:color w:val="auto"/>
        </w:rPr>
      </w:pPr>
      <w:r>
        <w:rPr>
          <w:rFonts w:ascii="Times New Roman" w:cs="Times New Roman" w:eastAsia="Times New Roman" w:hAnsi="Times New Roman"/>
          <w:sz w:val="18"/>
          <w:szCs w:val="18"/>
          <w:color w:val="auto"/>
        </w:rPr>
        <w:t>For the nine months ended September 30, 2026, the Company recognized an income tax expense of $37.0 million. The Company’s effective tax rate was 29.3% after discrete items for the nine months ended September 30, 2026. The effective tax rate differed from the federal statutory rate of 21% primarily due to state taxes and disallowed officers’ compensation partially offset by excess tax benefits recognized upon settlement of stock-based compensation.</w:t>
      </w:r>
    </w:p>
    <w:p>
      <w:pPr>
        <w:spacing w:after="0" w:line="154" w:lineRule="exact"/>
        <w:rPr>
          <w:sz w:val="20"/>
          <w:szCs w:val="20"/>
          <w:color w:val="auto"/>
        </w:rPr>
      </w:pPr>
    </w:p>
    <w:p>
      <w:pPr>
        <w:ind w:left="332" w:right="8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the Company recognized an income tax expense of $13.5 million. The Company’s effective tax rate was 20.9% after discrete items for the nine months ended September 30, 2025. The effective tax rate differed from the federal statutory rate of 21% primarily due to excess tax benefits recognized upon settlement of stock-based compensation, favorable return to provision adjustments attributable to certain foreign tax returns filed during the period, and non-taxable adjustments to the fair value of certain contingent liabilities related to the acquisition of Alimera.</w:t>
      </w:r>
    </w:p>
    <w:p>
      <w:pPr>
        <w:sectPr>
          <w:pgSz w:w="11900" w:h="16838" w:orient="portrait"/>
          <w:cols w:equalWidth="0" w:num="1">
            <w:col w:w="11212"/>
          </w:cols>
          <w:pgMar w:left="328" w:top="945" w:right="3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45" w:right="359" w:bottom="1440" w:gutter="0" w:footer="0" w:header="0"/>
          <w:type w:val="continuous"/>
        </w:sectPr>
      </w:pPr>
    </w:p>
    <w:bookmarkStart w:id="25" w:name="page26"/>
    <w:bookmarkEnd w:id="25"/>
    <w:p>
      <w:pPr>
        <w:ind w:left="332" w:right="7360" w:hanging="332"/>
        <w:spacing w:after="0" w:line="487" w:lineRule="auto"/>
        <w:tabs>
          <w:tab w:leader="none" w:pos="41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Operating Leases</w:t>
      </w:r>
    </w:p>
    <w:p>
      <w:pPr>
        <w:spacing w:after="0" w:line="1" w:lineRule="exact"/>
        <w:rPr>
          <w:sz w:val="20"/>
          <w:szCs w:val="20"/>
          <w:color w:val="auto"/>
        </w:rPr>
      </w:pPr>
    </w:p>
    <w:p>
      <w:pPr>
        <w:ind w:left="332" w:right="80"/>
        <w:spacing w:after="0" w:line="271" w:lineRule="auto"/>
        <w:rPr>
          <w:sz w:val="20"/>
          <w:szCs w:val="20"/>
          <w:color w:val="auto"/>
        </w:rPr>
      </w:pPr>
      <w:r>
        <w:rPr>
          <w:rFonts w:ascii="Times New Roman" w:cs="Times New Roman" w:eastAsia="Times New Roman" w:hAnsi="Times New Roman"/>
          <w:sz w:val="17"/>
          <w:szCs w:val="17"/>
          <w:color w:val="auto"/>
        </w:rPr>
        <w:t>The majority of the Company’s leases as of September 30, 2026 are classified as operating leases. Leases with an initial term of twelve months or less are not recorded on the balance sheet, and the Company does not separate lease and non-lease components of contracts. The Company’s lease agreements do not provide for determination of the interest rate implicit in the lease. Therefore, the Company used a benchmark approach to derive an appropriate incremental borrowing rate. The Company’s incremental borrowing rate is the rate of interest that the lessee would have to pay to borrow on a collateralized basis over a similar term an amount equal to the lease payments in a similar economic environment. The Company benchmarked itself against other companies of similar credit ratings and comparable quality and derived an incremental borrowing rate, which was used to discount its lease liabilities. Rent expense is recognized on a straight-line basis over the lease term. Operating lease ROU assets are included in other non-current assets and operating lease liabilities are included in accrued expenses and other and other non-current liabilities in the unaudited condensed consolidated balance sheets. The Company’s lease agreements do not contain any material residual value guarantees or material restrictive covenants.</w:t>
      </w:r>
    </w:p>
    <w:p>
      <w:pPr>
        <w:spacing w:after="0" w:line="11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left="332" w:right="60"/>
        <w:spacing w:after="0" w:line="258" w:lineRule="auto"/>
        <w:rPr>
          <w:sz w:val="20"/>
          <w:szCs w:val="20"/>
          <w:color w:val="auto"/>
        </w:rPr>
      </w:pPr>
      <w:r>
        <w:rPr>
          <w:rFonts w:ascii="Times New Roman" w:cs="Times New Roman" w:eastAsia="Times New Roman" w:hAnsi="Times New Roman"/>
          <w:sz w:val="18"/>
          <w:szCs w:val="18"/>
          <w:color w:val="auto"/>
        </w:rPr>
        <w:t>The Company’s products and facilities are subject to regulation by a number of federal, state and foreign governmental agencies, such as the Drug Enforcement Administration (“DEA”), the FDA, the Centers for Medicare and Medicaid Services, the Central Drugs Standard Control Organization, the Narcotics Control Bureau (“NCB”), and India’s Ministry of Health and Family Welfare. The FDA, in particular, maintains oversight of the formulation, manufacture, distribution, packaging, and labeling of all of ANI’s products. The DEA and NCB maintain oversight over products that are considered controlled substances.</w:t>
      </w:r>
    </w:p>
    <w:p>
      <w:pPr>
        <w:spacing w:after="0" w:line="13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Unapproved Products</w:t>
      </w:r>
    </w:p>
    <w:p>
      <w:pPr>
        <w:spacing w:after="0" w:line="202" w:lineRule="exact"/>
        <w:rPr>
          <w:sz w:val="20"/>
          <w:szCs w:val="20"/>
          <w:color w:val="auto"/>
        </w:rPr>
      </w:pPr>
    </w:p>
    <w:p>
      <w:pPr>
        <w:ind w:left="332" w:right="60"/>
        <w:spacing w:after="0" w:line="261" w:lineRule="auto"/>
        <w:rPr>
          <w:sz w:val="20"/>
          <w:szCs w:val="20"/>
          <w:color w:val="auto"/>
        </w:rPr>
      </w:pPr>
      <w:r>
        <w:rPr>
          <w:rFonts w:ascii="Times New Roman" w:cs="Times New Roman" w:eastAsia="Times New Roman" w:hAnsi="Times New Roman"/>
          <w:sz w:val="18"/>
          <w:szCs w:val="18"/>
          <w:color w:val="auto"/>
        </w:rPr>
        <w:t>Four products, Esterified Estrogen with Methyltestosterone (“EEMT”), Opium Tincture, Thyroid Tablets, and Hyoscyamine, are marketed without approved NDAs or ANDAs. During the three and nine months ended September 30, 2026, net revenues from commercial sales of these products totaled $6.1 million and $18.0 million, respectively. During the three and nine months ended September 30, 2025, net revenues from commercial sales of these products totaled $6.0 million and $17.6 million, respectively.</w:t>
      </w:r>
    </w:p>
    <w:p>
      <w:pPr>
        <w:spacing w:after="0" w:line="12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332" w:right="20"/>
        <w:spacing w:after="0" w:line="254" w:lineRule="auto"/>
        <w:rPr>
          <w:sz w:val="20"/>
          <w:szCs w:val="20"/>
          <w:color w:val="auto"/>
        </w:rPr>
      </w:pPr>
      <w:r>
        <w:rPr>
          <w:rFonts w:ascii="Times New Roman" w:cs="Times New Roman" w:eastAsia="Times New Roman" w:hAnsi="Times New Roman"/>
          <w:sz w:val="18"/>
          <w:szCs w:val="18"/>
          <w:color w:val="auto"/>
        </w:rPr>
        <w:t>The Company is involved, and from time to time may become involved, in various disputes, governmental and/or regulatory inquiries, investigations, government reimbursement related actions and litigation. These matters are complex and subject to significant uncertainties. While the Company believes that it has valid claims and/or defenses in the litigation and other matters described below, litigation is inherently unpredictable, particularly where the damages sought are substantial or indeterminate or when the proceedings, investigations or inquiries are in the early stages, and the outcome of the proceedings could result in losses, including substantial damages, fines, civil or criminal penalties and injunctive or administrative remedies. The Company intends to vigorously prosecute and/or defend these matters, as appropriate; however, from time to time, the Company may settle or otherwise resolve these matters on terms and conditions that it believes are in the Company’s best interests. Resolution of any or all claims, investigations, and legal proceedings, individually or in the aggregate, could have a material adverse effect on the results of operations and/or cash flows in any given accounting period or on the Company’s overall financial condition.</w:t>
      </w:r>
    </w:p>
    <w:p>
      <w:pPr>
        <w:spacing w:after="0" w:line="188" w:lineRule="exact"/>
        <w:rPr>
          <w:sz w:val="20"/>
          <w:szCs w:val="20"/>
          <w:color w:val="auto"/>
        </w:rPr>
      </w:pPr>
    </w:p>
    <w:p>
      <w:pPr>
        <w:ind w:left="332"/>
        <w:spacing w:after="0" w:line="266" w:lineRule="auto"/>
        <w:rPr>
          <w:sz w:val="20"/>
          <w:szCs w:val="20"/>
          <w:color w:val="auto"/>
        </w:rPr>
      </w:pPr>
      <w:r>
        <w:rPr>
          <w:rFonts w:ascii="Times New Roman" w:cs="Times New Roman" w:eastAsia="Times New Roman" w:hAnsi="Times New Roman"/>
          <w:sz w:val="18"/>
          <w:szCs w:val="18"/>
          <w:color w:val="auto"/>
        </w:rPr>
        <w:t>Unless otherwise disclosed, the Company is unable to predict the outcome of the matter or to provide an estimate of the range of reasonably possible material losses. The Company records accruals for loss contingencies to the extent it is probable that a liability has been incurred and the amount of the loss can be reasonably estimated.</w:t>
      </w:r>
    </w:p>
    <w:p>
      <w:pPr>
        <w:spacing w:after="0" w:line="176" w:lineRule="exact"/>
        <w:rPr>
          <w:sz w:val="20"/>
          <w:szCs w:val="20"/>
          <w:color w:val="auto"/>
        </w:rPr>
      </w:pPr>
    </w:p>
    <w:p>
      <w:pPr>
        <w:ind w:left="332" w:right="12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also be involved in other pending proceedings for which, in the opinion of management and based upon facts and circumstances known at the time, either the likelihood of loss is remote or any reasonably possible loss associated with the resolution of such proceedings is not expected to be material to its results, and therefore remain undisclosed. If and when any reasonably possible losses associated with the resolution of such other pending proceedings, in the opinion of management, become material, the Company will disclose such matters.</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41" w:right="359" w:bottom="1440" w:gutter="0" w:footer="0" w:header="0"/>
        </w:sectPr>
      </w:pPr>
    </w:p>
    <w:bookmarkStart w:id="26" w:name="page27"/>
    <w:bookmarkEnd w:id="26"/>
    <w:p>
      <w:pPr>
        <w:ind w:right="20"/>
        <w:spacing w:after="0" w:line="258" w:lineRule="auto"/>
        <w:rPr>
          <w:sz w:val="20"/>
          <w:szCs w:val="20"/>
          <w:color w:val="auto"/>
        </w:rPr>
      </w:pPr>
      <w:r>
        <w:rPr>
          <w:rFonts w:ascii="Times New Roman" w:cs="Times New Roman" w:eastAsia="Times New Roman" w:hAnsi="Times New Roman"/>
          <w:sz w:val="18"/>
          <w:szCs w:val="18"/>
          <w:color w:val="auto"/>
        </w:rPr>
        <w:t>Furthermore, like many pharmaceutical manufacturers, the Company is periodically exposed to product liability claims. The prevalence of these claims could limit the Company’s coverage under future insurance policies or cause those policies to become more expensive, which could harm its business, financial condition, and operating results. Recent trends in the product liability and director and officer insurance markets are to exclude matters related to certain classes of drugs. The Company’s policies have been subject to such exclusions which place further potential risk of financial loss on the Company.</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Legal fees for litigation-related matters are expensed as incurred and included in the consolidated statements of operations under the selling, general, and administrative expense line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Litigation</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March 4, 2024, ANI commenced a civil action against CG Oncology, Inc. f/k/a Cold Genesys, Inc. (“CG Oncology”) in the Superior Court of the State of Delaware (“Delaware Action”). ANI’s complaint alleges that, under an Assignment and Technology Transfer Agreement dated as of November 15, 2010 (the “November 2010 Agreement”), CG Oncology is liable to pay ANI a running royalty of 5% of the worldwide net sales of cretostimogene made by CG Oncology or any affiliate or sublicensee thereof; and that in February 2024, CG Oncology wrongfully repudiated its royalty obligation to ANI. On April 2, 2024, CG Oncology filed an answer and counterclaim (the “CGON Answer and Counterclaim”) and concurrently moved for judgment on the pleadings or, in the alternative, for partial summary judgment (the “Motion for Summary Judgment”). CG Oncology’s Motion for Summary Judgment sought judgment declaring that the November 2010 Agreement does not “oblige CGON to pay royalties after expiration of the latest-running assigned patent.” On April 25, 2024, ANI filed a reply to CG Oncology’s counterclaims, denying any liability to CG Oncology and asserting additional counterclaims against CG Oncology (“Reply Counterclaims”) for alleged breach of the November 2010 Agreement and, in the alternative, for unjust enrichment. On May 15, 2024, CG Oncology filed a reply to ANI’s counterclaims, denying any liability to ANI and generally maintaining the positions taken in the CGON Answer and Counterclaim. On November 18, 2024, the court denied CG Oncology’s Motion for Summary Judgment. On June 2, 2025, CG Oncology filed five motions for summary judgment seeking dismissal of all of ANI’s claims and counterclaims, including breach of the royalty payment provision, breach of good faith performance, breach of the implied covenant of good faith, and in the alternative, unjust enrichment. Also on June 2, 2025, ANI filed a motion for partial summary judgment seeking dismissal of CG Oncology’s counterclaims for unenforceability of the royalty payment provision under Brulotte, breach of good faith performance, breach of confidentiality and trade secret misappropriation. At a pretrial conference on July 16, 2025, the court granted CG Oncology’s motion for partial summary judgment on its Brulotte counterclaim and affirmative defense, but allowed the case to proceed on ANI’s counterclaim for unjust enrichment. The court also granted ANI’s motion for partial summary judgment, dismissing CG Oncology’s breach of confidentiality and trade secret misappropriation claims. The jury trial commenced in Delaware Superior Court on July 21, 2025. On July 29, 2025, a verdict was returned by the jury, finding that (1) the unenforceability of the royalty payment provision in the November 2010 Agreement did not affect the economic or legal substance of the transactions contemplated thereby in a manner that was materially adverse to ANI, and (2) awarding no damages to ANI on its unjust enrichment counterclaim. On August 12, 2025, ANI filed a motion for a new trial and for judgment as a matter of law. A hearing on the motions was held by the court on April 10, 2026. On July 16, 2026, the court denied ANI's motions. On August 17, 2026, ANI filed a notice of appeal to the Supreme Court of the State of Delaware. On October 2, 2026, ANI filed its opening brief seeking judgment as a matter of law or, in the alternative, a new trial. On November 2, 2026, CG Oncology filed its answering brief. A hearing date has not been set by the court.</w:t>
      </w:r>
    </w:p>
    <w:p>
      <w:pPr>
        <w:spacing w:after="0" w:line="2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6, 2024, a complaint was filed against ANI by Acella Pharmaceuticals, LLC (“Acella”), in the United States District Court for the District of Minnesota, asserting, among other things, false advertising under the Lanham Act, and unfair trade practices and false advertising under Minnesota law, relating to ANI’s natural desiccated thyroid tablets USP. The complaint seeks injunctive relief, actual and consequential damages, disgorgement of profits, and attorneys’ fees and costs. On June 7, 2024, ANI filed an amended answer to Acella’s complaint, denying all claims, and asserting certain affirmative defenses, and counterclaims against Acella for false advertising of its thyroid product marketed as NP Thyroid® Tablets, under the Lanham Act, and for deceptive trade practices under Minnesota and Georgia law. ANI seeks injunctive relief, compensatory damages, punitive damages and attorneys’ fees and costs. On April 15, 2026, ANI and Acella filed cross motions for summary judgment against each other’s respective claims. The parties have been unable to reach a settlement to date. Fact and expert discovery are now closed. A hearing was held on August 25, 2026 on the parties’ cross motions for summary judgment, and the parties await a decision on those motions from the court. A trial date has not been set. ANI disputes any liability in this matter and continues to defend this lawsuit vigorously.</w:t>
      </w: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8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Patent Infringement Litigation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Harmony Biosciences Patent Litigation</w:t>
      </w:r>
    </w:p>
    <w:p>
      <w:pPr>
        <w:spacing w:after="0" w:line="22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April 20, 2026, Harmony Biosciences Management, Inc. (“Harmony Management”), along with Novitium, as exclusive licensor of certain intellectual property to Harmony Management (collectively, “plaintiffs”), including U.S. Patent No. 11,623,920 (the “920 Patent”), filed a lawsuit against AET Pharma US, Inc., AET Laboratories Private Limited, Alfred E. Tiefenbacher (GmbH &amp; Co. KG) (collectively, “AET”), Sandoz Inc., Sandoz Private Limited, and Sandoz GmbH, alleging that the defendants’ actions in connection with the filing of AET’s ANDA No. 218892 infringe one or more claims of the 920 Patent. The case was filed in the United States District Court for the District of Delaware and assigned case no. 26-cv-00453-JLH.</w:t>
      </w:r>
    </w:p>
    <w:p>
      <w:pPr>
        <w:spacing w:after="0" w:line="18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On June 22, 2026, the defendants filed an answer to the complaint, along with counterclaims alleging various antitrust counterclaims against Harmony Management individually and against plaintiffs jointly. On July 6, 2026, the parties stipulated that defendants Sandoz Private Limited and Sandoz GmbH be dismissed without prejudice, which stipulation was granted on July 7, 2026. On July 21, 2026, the defendants filed an amended answer updating the complaint to remove those parties. On August 13, 2026, plaintiffs filed a motion to bifurcate and stay the antitrust claims. On September 11, 2026, AET filed its opposition, and on October 2, 2026, plaintiffs filed their reply. On October 21, 2026, Judge Hall held a hearing on the pending motion. A decision has not yet been rendered by the court and discovery has commenced. On November 3, 2026, the court issued an order setting November 5, 2026 as the deadline by which plaintiffs must file any motion for a preliminary injunction seeking to prevent defendants from launching their ANDA product during the pendency of the 920 Patent litigation. A one-day preliminary injunction hearing is set for January 26, 2027.</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26, 2026, Harmony Management, along with Novitium, as exclusive licensor of certain intellectual property to Harmony Management, including U.S. Patent No. 11,945,788 (the “788 Patent”), filed a lawsuit against AET, Sandoz Inc. and Sandoz AG, alleging that the defendants’ actions in connection with the filing of AET’s ANDA No. 218892 infringe one or more claims of the 788 Patent. The case was filed in the United States District Court for the District of Delaware and assigned case no. 26-cv-1191-JLH. On October 26, 2026, plaintiffs voluntarily dismissed the 788 Patent lawsuit.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Novitium intends to pursue these matters and to vigorously defend the counterclaims along with Harmony Management.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Orphalan SA v. Novitium</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April 22, 2026, Orphalan SA filed a lawsuit against Novitium, alleging that Novitium’s actions in connection with the filing of Novitium’s ANDA No. 218493 infringe one or more claims of U.S. Patent Nos. 10,988,436, 11,072,577, 12,358,861 and 12,358,862. The case was filed in the United States District Court for the District of Delaware and assigned case no. 26-463-GBW. On June 22, 2026, Novitium filed its counterclaims and answer to the complaint. On July 10, 2026, Orphalan SA filed its answer to Novitium’s counterclaims. On October 28, 2026, Orphalan SA filed an amended complaint, alleging that Novitium’s actions in connection with the filing of Novitium’s ANDA No. 218493 also infringe one or more claims of U.S. Patent No. 12,662,445.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Novitium disputes any liability in this matter.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re Levoketoconazole Litigation</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4, 2026, Xeris Pharmaceuticals, Inc. and Strongbridge Dublin Limited filed a lawsuit against Novitium and ANI, alleging that the defendants’ actions in connection with the filing of Novitium’s ANDA No. 221336 infringe one or more claims of U.S. Patent Nos. 11,020,393 (the “393 Patent”), 11,278,547 (the “547 Patent”), 11,903,940 and 12,377,096. The case was filed in the United States District Court for the District of New Jersey and assigned case no. 2:26-cv-06568 (“Civil Action No. 26-6568”).</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13, 2026, Xeris Pharmaceuticals, Inc. and Strongbridge Dublin Limited filed a separate lawsuit against Novitium and ANI, alleging that the defendants’ actions in connection with the filing of Novitium’s ANDA No. 221336 infringe one or more claims of the 393 Patent and the 547 Patent. The case was filed in the United States District Court for the District of New Jersey and assigned case no. 2:26-cv-08641 (“Civil Action No. 26-8641”).</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July 20, 2026, the Court entered a Joint Stipulation and Order of Consolidation that consolidated Civil Action No. 26-6568 and Civil Action No. 26-8641 into lead case Civil Action No. 2:26-cv-02044-JXN-JBC to become the In re Levoketoconazole Litigation. On July 29, 2026, Novitium and ANI filed their answer and counterclaims.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 and Novitium dispute any liability in this matter.</w:t>
      </w:r>
    </w:p>
    <w:p>
      <w:pPr>
        <w:sectPr>
          <w:pgSz w:w="11900" w:h="16838" w:orient="portrait"/>
          <w:cols w:equalWidth="0" w:num="1">
            <w:col w:w="10900"/>
          </w:cols>
          <w:pgMar w:left="660" w:top="98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81" w:right="339" w:bottom="1440" w:gutter="0" w:footer="0" w:header="0"/>
          <w:type w:val="continuous"/>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Ranitidine Related Litigation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Federal Court Multidistrict Litigation</w:t>
      </w:r>
    </w:p>
    <w:p>
      <w:pPr>
        <w:spacing w:after="0" w:line="216" w:lineRule="exact"/>
        <w:rPr>
          <w:sz w:val="20"/>
          <w:szCs w:val="20"/>
          <w:color w:val="auto"/>
        </w:rPr>
      </w:pPr>
    </w:p>
    <w:p>
      <w:pPr>
        <w:ind w:left="340"/>
        <w:spacing w:after="0" w:line="269" w:lineRule="auto"/>
        <w:rPr>
          <w:sz w:val="20"/>
          <w:szCs w:val="20"/>
          <w:color w:val="auto"/>
        </w:rPr>
      </w:pPr>
      <w:r>
        <w:rPr>
          <w:rFonts w:ascii="Times New Roman" w:cs="Times New Roman" w:eastAsia="Times New Roman" w:hAnsi="Times New Roman"/>
          <w:sz w:val="17"/>
          <w:szCs w:val="17"/>
          <w:color w:val="auto"/>
        </w:rPr>
        <w:t>ANI and Novitium were named as defendants, along with numerous other brand and generic pharmaceutical manufacturers, wholesale distributors, retail pharmacy chains, and repackagers of ranitidine-containing products, in In re: Zantac/Ranitidine NDMA Litigation (MDL No. 2924), filed in the United States District Court for the Southern District of Florida (the “MDL Court”). Plaintiffs allege that defendants failed to disclose and/or concealed the alleged inherent presence of N-Nitrosodimethylamine (or “NDMA”) in brand-name Zantac or generic ranitidine and the alleged associated risk of cancer. While ANI was initially a defendant, the lead plaintiff attorneys voluntarily dismissed ANI as a defendant in the Master Complaint. On July 8, 2021, the MDL Court dismissed all claims by all plaintiffs against the generic drug manufacturers with prejudice, on preemption grounds. The MDL Court also dismissed all claims by all plaintiffs against the brand manufacturers on summary judgment. Plaintiffs appealed the MDL Court’s dismissals to the Eleventh Circuit Court of Appeals. On November 7, 2022, the Eleventh Circuit affirmed the MDL Court’s dismissal of cases brought by third-party payors. The Eleventh Circuit raised questions in the appeals of the other cases about the finality of the MDL Court’s judgments, which were resolved in September 2023. Plaintiffs filed opening briefs on April 10, 2024 and generics defendants filed their response on July 25, 2024. Plaintiffs filed reply briefs in September 2024. Oral arguments were heard on October 10, 2025, and a decision from the court is pending.</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ANI and Novitium dispute any liability in this matter.</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State Court Personal Injury Litigation</w:t>
      </w:r>
    </w:p>
    <w:p>
      <w:pPr>
        <w:spacing w:after="0" w:line="227" w:lineRule="exact"/>
        <w:rPr>
          <w:sz w:val="20"/>
          <w:szCs w:val="20"/>
          <w:color w:val="auto"/>
        </w:rPr>
      </w:pPr>
    </w:p>
    <w:p>
      <w:pPr>
        <w:ind w:left="340" w:right="60"/>
        <w:spacing w:after="0" w:line="255" w:lineRule="auto"/>
        <w:rPr>
          <w:sz w:val="20"/>
          <w:szCs w:val="20"/>
          <w:color w:val="auto"/>
        </w:rPr>
      </w:pPr>
      <w:r>
        <w:rPr>
          <w:rFonts w:ascii="Times New Roman" w:cs="Times New Roman" w:eastAsia="Times New Roman" w:hAnsi="Times New Roman"/>
          <w:sz w:val="18"/>
          <w:szCs w:val="18"/>
          <w:i w:val="1"/>
          <w:iCs w:val="1"/>
          <w:color w:val="auto"/>
        </w:rPr>
        <w:t>California</w:t>
      </w:r>
      <w:r>
        <w:rPr>
          <w:rFonts w:ascii="Times New Roman" w:cs="Times New Roman" w:eastAsia="Times New Roman" w:hAnsi="Times New Roman"/>
          <w:sz w:val="18"/>
          <w:szCs w:val="18"/>
          <w:color w:val="auto"/>
        </w:rPr>
        <w:t>. The pending cases in California state court naming generic ranitidine manufacturers were transferred to an existing civil case coordination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docket for pretrial proceedings (“JCCP”) in Alameda County. On September 21, 2023, plaintiffs filed a master complaint in the JCCP alleging strict liability, negligent failure to warn and general negligence, but not naming any generic defendants. Plaintiffs filed an amended master complaint on April 29, 2024 and filed a second amended master complaint on July 2, 2024. Defendants filed omnibus demurrers to the complaint. Novitium is currently named in one bellwether case (“Bautista”), one wave 2 case (“Austin”), one wave 3 case (“Rodarte”), three wave 5 cases, six wave 6 cases, and four wave 7 cases. The court heard arguments for the demurrers on August 22, 2024 and issued its final ruling on August 28, 2024, allowing some counts to survive. The surviving counts as to generic defendants include strict liability (manufacturing defect) and general negligence (storage and transport, failure to warn and product containers). Novitium filed its answer to the second amended master complaint on September 6, 2024.</w:t>
      </w:r>
    </w:p>
    <w:p>
      <w:pPr>
        <w:spacing w:after="0" w:line="187" w:lineRule="exact"/>
        <w:rPr>
          <w:sz w:val="20"/>
          <w:szCs w:val="20"/>
          <w:color w:val="auto"/>
        </w:rPr>
      </w:pPr>
    </w:p>
    <w:p>
      <w:pPr>
        <w:ind w:left="340" w:right="40"/>
        <w:spacing w:after="0" w:line="254" w:lineRule="auto"/>
        <w:rPr>
          <w:sz w:val="20"/>
          <w:szCs w:val="20"/>
          <w:color w:val="auto"/>
        </w:rPr>
      </w:pPr>
      <w:r>
        <w:rPr>
          <w:rFonts w:ascii="Times New Roman" w:cs="Times New Roman" w:eastAsia="Times New Roman" w:hAnsi="Times New Roman"/>
          <w:sz w:val="18"/>
          <w:szCs w:val="18"/>
          <w:color w:val="auto"/>
        </w:rPr>
        <w:t>In December 2023, the Keller Postman firm filed a large number of short form complaints that name generic defendants. Novitium is named in 29 of the short form complaints which reference the claims for the master complaint, but Novitium has not been served. ANI is not named. On February 1, 2024, the generic defendants filed an omnibus demurrer challenging the sufficiency of the Keller Postman complaints, largely on the basis of preemption. On April 23, 2024, the California court sustained the demurrer in part, dismissing all design defect claims against the generic defendants with prejudice on preemption grounds, but the court otherwise granted plaintiffs an opportunity for leave to amend their other claims against the generic defendants. Plaintiffs filed amended short form complaints on September 20, 2024 and defendants filed responses on October 6, 2024. One case naming Novitium (Shlitz) had been set for trial to commence on October 19, 2026 but the plaintiff has since agreed to dismiss Novitium from that case, which dismissal was filed on September 23, 2026. A second case naming Novitium (Rodriguez) is currently in discovery and has been set for trial to commence after June 2027.</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Novitium disputes any liability in these matters.</w:t>
      </w:r>
    </w:p>
    <w:p>
      <w:pPr>
        <w:spacing w:after="0" w:line="1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89" w:lineRule="exact"/>
        <w:rPr>
          <w:sz w:val="20"/>
          <w:szCs w:val="20"/>
          <w:color w:val="auto"/>
        </w:rPr>
      </w:pPr>
    </w:p>
    <w:p>
      <w:pPr>
        <w:ind w:left="340" w:right="52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from the sale of an asset or paid to transfer a liability assuming an orderly transaction in the most advantageous market at the measurement date. U.S. GAAP establishes a hierarchical disclosure framework that prioritizes and ranks the level of observability of inputs used in measuring fair value.</w:t>
      </w:r>
    </w:p>
    <w:p>
      <w:pPr>
        <w:spacing w:after="0" w:line="149"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The inputs used in measuring the fair value of cash and cash equivalents are considered to be Level 1 in accordance with the three-tier fair value hierarchy. The fair market values are based on period-end statements supplied by the various banks and brokers that held the majority of the Company’s funds. The fair value of short-term financial instruments (primarily accounts receivable, prepaid expenses, accounts payable, accrued expenses, and other current liabilities) approximate their carrying values because of their short-term nature. The 2024 Credit Facility bears an interest rate that fluctuates with the changes in SOFR and because the variable interest rate approximates market borrowing rates available to the Company, the carrying value of the 2024 Credit Facility approximated its fair value at September 30, 2026.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Alimera Contingent Value Rights (CVR)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September 16, 2024, prior to consummation of the Alimera acquisition, the Company entered into a CVR agreement pursuant to which holders of Alimera Common Stock, as well as holders of Alimera Warrants, Alimera Options, Alimera PSUs, Alimera RSAs and Alimera RSUs, may become entitled to contingent cash payments per CVR (each, a “Milestone Payment”), such payments being contingent upon, and subject to, the achievement of: (i) $140.0 million in net revenue (the “2026 Milestone”) on third party sales of ILUVIEN and YUTIQ for the Company’s 2026 fiscal year (the “2026 Net Revenue”) and/or (ii) $160.0 million in net revenue (the “2027 Milestone” and together with the 2026 Milestone, the “Milestones”) on third party sales of ILUVIEN and YUTIQ for the Company’s 2027 fiscal year (the “2027 Net Revenue”). Each CVR entitles the holder to receive a Milestone Payment upon satisfaction of the applicable Milestones. The Milestone Payment for each CVR will equal the product (rounded to the nearest 1/100 of $0.01) of (i) $0.25 multiplied by a fraction (not exceeding one), the numerator of which is the amount, if any, by which the 2026 Net Revenue exceeds $140.0 million and the denominator of which is $10.0 million (subject to adjustment for the exercise price of applicable Alimera Options) and/or (ii) $0.25 multiplied by a fraction (not exceeding one), the numerator of which is the amount, if any, by which the 2027 Net Revenue exceeds $160.0 million and the denominator of which is $15.0 million (subject to adjustment for the exercise price of applicable Alimera Options).</w:t>
      </w:r>
    </w:p>
    <w:p>
      <w:pPr>
        <w:spacing w:after="0" w:line="15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If the Milestones are met, the distributions in respect of the CVRs will be made on or prior to the date that is fifteen (15) business days following the filing by the Company of its audited financial statements with the SEC in its Annual Report on Form 10-K in respect of the applicable year in which such Milestones have been achieved, and will be subject to a number of deductions, exceptions and limitations, including, but not limited to, certain taxes.</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fair value of the CVR liability is based on significant unobservable inputs, which represent Level 3 measurements within the fair value hierarchy. The Company utilized a Monte Carlo simulation model to estimate the fair value of the CVR liability. For each simulated path of future revenue, the payments to the CVR holders were calculated based on the contractual terms of the rights. The average payments from all simulated paths were then discounted to present value at an estimated cost of debt. As a result of the decrease in forecast future revenue for 2026 and 2027, a corresponding decrease in the CVR liability was recorded. The fair value of the CVR liability was approximately $0.2 million as of September 30, 2026, a decrease of approximately $1.2 million from $1.4 million as of December 31, 2025, and is classified within Other non-current liabilities in the Company’s unaudited condensed consolidated balance sheets. There was no current liability recorded as of September 30, 2026 as the Company does not expect to achieve the 2026 Milestone.</w:t>
      </w:r>
    </w:p>
    <w:p>
      <w:pPr>
        <w:spacing w:after="0" w:line="1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CVR liability balances classified as Level 3 for the three and nine months ended September 30, 2026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9,000</w:t>
            </w:r>
          </w:p>
        </w:tc>
      </w:tr>
      <w:tr>
        <w:trPr>
          <w:trHeight w:val="243"/>
        </w:trPr>
        <w:tc>
          <w:tcPr>
            <w:tcW w:w="3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w w:val="97"/>
              </w:rPr>
              <w:t>(333)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(2,523)</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(5,523)</w:t>
            </w:r>
          </w:p>
        </w:tc>
      </w:tr>
      <w:tr>
        <w:trPr>
          <w:trHeight w:val="262"/>
        </w:trPr>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3,477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3,477</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w:t>
      </w:r>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Money market funds are readily convertible into cash and the net asset value of each fund on the last day of the reporting period is used to determine its fair value. Money market funds are included in Cash and cash equivalents within the unaudited condensed consolidated balance sheets, and are classified within Level 1 of the fair value hierarchy because they are valued using quoted market prices. The Company does not adjust the quoted market price for such financial instruments. The fair value of the money market funds was approximately $342.2 million and $209.9 million, as of September 30, 2026 and December 31, 2025,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the interest rate swap is estimated based on the present value of projected future cash flows using the SOFR forward rate curve. The model used to value the interest rate swap includes inputs of readily observable market data, a Level 2 input. The fair value of the interest rate swap was $0.6 million and $1.6 million as of September 30, 2026 and December 31, 2025, respectively. The interest rate swap was classified as prepaid expenses and other current assets as of September 30, 2026 in the unaudited condensed consolidated balance sheets, and other non-current assets as of December 31, 2025 in the condensed consolidated balance sheets.</w:t>
      </w: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41"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CG Oncology Equity Securities</w:t>
      </w:r>
    </w:p>
    <w:p>
      <w:pPr>
        <w:spacing w:after="0" w:line="202"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18"/>
          <w:szCs w:val="18"/>
          <w:color w:val="auto"/>
        </w:rPr>
        <w:t>The Company currently holds 219,925 shares of common stock in CG Oncology, Inc. (Nasdaq: CGON) (“CG Oncology”). The Company accounts for its investment in CG Oncology equity securities as an equity investment with a readily determinable fair value, as the securities are publicly traded on the Nasdaq Global Select Market. The fair value of the equity securities is based on its closing price on the Nasdaq and is classified within Level 1 of the fair value hierarchy because the equity securities are valued using quoted market prices. The Company does not adjust the quoted market price for such financial instruments. The fair value of the CG Oncology equity securities as of September 30, 2026 was approximately $15.6 million and $9.1 million as of December 31, 2025, based on a closing market price of $70.89 and $41.52 on September 30, 2026 and December 31, 2025, respectively. The change in fair value of the equity securities is classified on the unaudited condensed consolidated statements of operations as unrealized (loss) gain on investment in equity securities, in the amounts of approximately $35 thousand and $6.5 million for the three and nine months ended September 30, 2026, respectively, and $3.1 million and $2.6 million for the three and nine months ended September 30, 2025, respectively. Between 2013 and 2023, CG Oncology securities held by the Company were valued at zero under U.S. GAAP.</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Novitium Contingent Consideration</w:t>
      </w:r>
    </w:p>
    <w:p>
      <w:pPr>
        <w:spacing w:after="0" w:line="189" w:lineRule="exact"/>
        <w:rPr>
          <w:sz w:val="20"/>
          <w:szCs w:val="20"/>
          <w:color w:val="auto"/>
        </w:rPr>
      </w:pPr>
    </w:p>
    <w:p>
      <w:pPr>
        <w:jc w:val="both"/>
        <w:ind w:left="340"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Novitium, the Company may pay up to $46.5 million in additional consideration related to the achievement of certain milestones, including milestones on gross profit of Novitium portfolio products over a 24-month period (which period ran from December 1, 2021 through November 30, 2023), regulatory filings completed during this 24-month period, and a percentage of net profits on certain products that are launched in the future.</w:t>
      </w:r>
    </w:p>
    <w:p>
      <w:pPr>
        <w:spacing w:after="0" w:line="153" w:lineRule="exact"/>
        <w:rPr>
          <w:sz w:val="20"/>
          <w:szCs w:val="20"/>
          <w:color w:val="auto"/>
        </w:rPr>
      </w:pPr>
    </w:p>
    <w:p>
      <w:pPr>
        <w:jc w:val="both"/>
        <w:ind w:left="340" w:right="120"/>
        <w:spacing w:after="0" w:line="266" w:lineRule="auto"/>
        <w:rPr>
          <w:sz w:val="20"/>
          <w:szCs w:val="20"/>
          <w:color w:val="auto"/>
        </w:rPr>
      </w:pPr>
      <w:r>
        <w:rPr>
          <w:rFonts w:ascii="Times New Roman" w:cs="Times New Roman" w:eastAsia="Times New Roman" w:hAnsi="Times New Roman"/>
          <w:sz w:val="18"/>
          <w:szCs w:val="18"/>
          <w:color w:val="auto"/>
        </w:rPr>
        <w:t>The discounted cash flow method used to value this contingent consideration includes inputs of not readily observable market data, which are Level 3 inputs, as the inputs are not based on readily available market data. As of the November 19, 2021 acquisition date, the contingent consideration had a fair value of $30.8 million.</w:t>
      </w:r>
    </w:p>
    <w:p>
      <w:pPr>
        <w:spacing w:after="0" w:line="189" w:lineRule="exact"/>
        <w:rPr>
          <w:sz w:val="20"/>
          <w:szCs w:val="20"/>
          <w:color w:val="auto"/>
        </w:rPr>
      </w:pPr>
    </w:p>
    <w:p>
      <w:pPr>
        <w:ind w:left="340" w:right="300"/>
        <w:spacing w:after="0" w:line="239" w:lineRule="auto"/>
        <w:rPr>
          <w:sz w:val="20"/>
          <w:szCs w:val="20"/>
          <w:color w:val="auto"/>
        </w:rPr>
      </w:pPr>
      <w:r>
        <w:rPr>
          <w:rFonts w:ascii="Times New Roman" w:cs="Times New Roman" w:eastAsia="Times New Roman" w:hAnsi="Times New Roman"/>
          <w:sz w:val="18"/>
          <w:szCs w:val="18"/>
          <w:color w:val="auto"/>
        </w:rPr>
        <w:t>Pursuant to the terms of the Agreement and Plan of Merger related to the Novitium acquisition, dated as of March 8, 2021 (“Novitium Merger Agreement”), the Company owes 20% of net profits generated by the sales of certain 505(b)(2) products (as defined in the Novitium Merger Agreement) to the holders of Novitium ownership interests (“Company Members”) through the earlier to occur of (i) the sum of all such payments being equal to $21.5 million in the aggregate and (ii) the tenth anniversary of the FDA approval of the applicable 505(b)(2) product (the “505(b)(2) Earn-Out”). The payments are due on a quarterly basis, within 45 calendar days of each quarter end.</w:t>
      </w:r>
    </w:p>
    <w:p>
      <w:pPr>
        <w:spacing w:after="0" w:line="171"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The total fair value of the contingent consideration was approximately $8.3 million and $8.3 million as of September 30, 2026 and December 31, 2025, respectively, and is classified within Accrued expenses and other and Contingent consideration in the unaudited condensed consolidated balance sheets.</w:t>
      </w:r>
    </w:p>
    <w:p>
      <w:pPr>
        <w:spacing w:after="0" w:line="135" w:lineRule="exact"/>
        <w:rPr>
          <w:sz w:val="20"/>
          <w:szCs w:val="20"/>
          <w:color w:val="auto"/>
        </w:rPr>
      </w:pPr>
    </w:p>
    <w:p>
      <w:pPr>
        <w:ind w:left="340" w:right="82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contingent consideration for which a liability is recorded include the following significant unobservable inputs as of September 30, 2026:</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9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Payment Type</w:t>
            </w:r>
          </w:p>
        </w:tc>
        <w:tc>
          <w:tcPr>
            <w:tcW w:w="80" w:type="dxa"/>
            <w:vAlign w:val="bottom"/>
            <w:tcBorders>
              <w:bottom w:val="single" w:sz="8" w:color="CCEEFF"/>
            </w:tcBorders>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 Technique</w:t>
            </w:r>
          </w:p>
        </w:tc>
        <w:tc>
          <w:tcPr>
            <w:tcW w:w="80" w:type="dxa"/>
            <w:vAlign w:val="bottom"/>
            <w:tcBorders>
              <w:bottom w:val="single" w:sz="8" w:color="CCEEFF"/>
            </w:tcBorders>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Assumptions</w:t>
            </w:r>
          </w:p>
        </w:tc>
      </w:tr>
      <w:tr>
        <w:trPr>
          <w:trHeight w:val="191"/>
        </w:trPr>
        <w:tc>
          <w:tcPr>
            <w:tcW w:w="3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Probability-weighted discounted</w:t>
            </w:r>
          </w:p>
        </w:tc>
        <w:tc>
          <w:tcPr>
            <w:tcW w:w="2600" w:type="dxa"/>
            <w:vAlign w:val="bottom"/>
            <w:gridSpan w:val="2"/>
            <w:shd w:val="clear" w:color="auto" w:fill="CCEEFF"/>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Discount rate</w:t>
            </w:r>
          </w:p>
        </w:tc>
        <w:tc>
          <w:tcPr>
            <w:tcW w:w="1320" w:type="dxa"/>
            <w:vAlign w:val="bottom"/>
            <w:shd w:val="clear" w:color="auto" w:fill="CCEEFF"/>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13.0%</w:t>
            </w:r>
          </w:p>
        </w:tc>
      </w:tr>
      <w:tr>
        <w:trPr>
          <w:trHeight w:val="234"/>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Profit-based milestone payments</w:t>
            </w:r>
          </w:p>
        </w:tc>
        <w:tc>
          <w:tcPr>
            <w:tcW w:w="2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cash flow</w:t>
            </w:r>
          </w:p>
        </w:tc>
        <w:tc>
          <w:tcPr>
            <w:tcW w:w="2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43"/>
        </w:trPr>
        <w:tc>
          <w:tcPr>
            <w:tcW w:w="3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Projected fiscal year of payment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2026-2034</w:t>
            </w: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contingent consideration balances classified as Level 3 balances for the three and nine months ended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340" w:type="dxa"/>
            <w:vAlign w:val="bottom"/>
          </w:tcPr>
          <w:p>
            <w:pPr>
              <w:spacing w:after="0"/>
              <w:rPr>
                <w:sz w:val="20"/>
                <w:szCs w:val="20"/>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r>
      <w:tr>
        <w:trPr>
          <w:trHeight w:val="236"/>
        </w:trPr>
        <w:tc>
          <w:tcPr>
            <w:tcW w:w="340" w:type="dxa"/>
            <w:vAlign w:val="bottom"/>
          </w:tcPr>
          <w:p>
            <w:pPr>
              <w:spacing w:after="0"/>
              <w:rPr>
                <w:sz w:val="20"/>
                <w:szCs w:val="20"/>
                <w:color w:val="auto"/>
              </w:rPr>
            </w:pP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40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505(b)(2) Earn-Out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40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40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736"/>
        </w:trPr>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31</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2"/>
        </w:trPr>
        <w:tc>
          <w:tcPr>
            <w:tcW w:w="34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Licensor Payments</w:t>
      </w:r>
    </w:p>
    <w:p>
      <w:pPr>
        <w:spacing w:after="0" w:line="18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On May 17, 2023, Alimera entered into the Product Rights Agreement (the “Product Rights Agreement”) with EyePoint Pharmaceuticals US, Inc. (“EyePoint”), which granted Alimera an exclusive and sublicensable right and license under EyePoint’s and its affiliates’ interest in certain of EyePoint’s and its affiliates’ intellectual property to develop, manufacture, sell, commercialize and otherwise exploit certain products, including YUTIQ, for the treatment and prevention of uveitis in the entire world, except Europe, the Middle East and Africa, where the Company already had such rights pursuant to an amended and restated license agreement (the “A&amp;R Collaboration Agreement”) with EyePoint, and except for China, Hong Kong, Macau, Taiwan, Brunei, Burma (Myanmar), Cambodia, Timor-Leste, Indonesia, Laos, Malaysia, the Philippines, Singapore, South Korea, Thailand and Vietnam, for which Ocumension holds a license from EyePoint. Pursuant to the A&amp;R Collaboration Agreement, Alimera paid EyePoint an upfront payment of $75.0 million during the year ended December 31, 2024.</w:t>
      </w:r>
    </w:p>
    <w:p>
      <w:pPr>
        <w:spacing w:after="0" w:line="16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the Company paid the final quarterly payment of $1.9 million. Upon making the quarterly payments in the aggregate amount of $7.5 million in 2024, the licenses and rights granted to the Company became automatically perpetual and irrevocable. There are no quarterly guaranteed payments in 2025 and beyond.</w:t>
      </w:r>
    </w:p>
    <w:p>
      <w:pPr>
        <w:spacing w:after="0" w:line="1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Royalties are payable to EyePoint from 2025 to 2028 at 30% of annual U.S. net sales of certain products (including YUTIQ and ILUVIEN) in excess of certain thresholds, beginning at $70.0 million in 2025, and increasing annually thereafter. The Company did not make any royalty payments during 2025 or the nine months ended September 30, 2026, as the minimum threshold of annual U.S. net sales that would trigger the requirement to make royalty payments was not met.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accrued licensor payments balances classified as Level 3 balances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r>
      <w:tr>
        <w:trPr>
          <w:trHeight w:val="243"/>
        </w:trPr>
        <w:tc>
          <w:tcPr>
            <w:tcW w:w="3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(16,899)</w:t>
            </w:r>
          </w:p>
        </w:tc>
      </w:tr>
      <w:tr>
        <w:trPr>
          <w:trHeight w:val="257"/>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assets and liabilities accounted for at fair value on a recurring basis as of September 30, 2026 and December 31, 2025, by level within the fair value hierarchy: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15"/>
                <w:szCs w:val="15"/>
                <w:color w:val="auto"/>
              </w:rPr>
            </w:pPr>
          </w:p>
        </w:tc>
        <w:tc>
          <w:tcPr>
            <w:tcW w:w="10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342,243</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342,243</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CG Oncology - Investment in equity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 Novitium</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Value Rights, Alimera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5"/>
                <w:szCs w:val="15"/>
                <w:color w:val="auto"/>
              </w:rPr>
            </w:pPr>
          </w:p>
        </w:tc>
        <w:tc>
          <w:tcPr>
            <w:tcW w:w="11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209,891</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209,891</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CG Oncology - Investment in equity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Contingent consideration, Novitium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Contingent Value Rights, Alimera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660" w:top="941" w:right="399" w:bottom="1440" w:gutter="0" w:footer="0" w:header="0"/>
        </w:sectPr>
      </w:pPr>
    </w:p>
    <w:p>
      <w:pPr>
        <w:spacing w:after="0" w:line="30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660" w:top="941" w:right="399" w:bottom="1440" w:gutter="0" w:footer="0" w:header="0"/>
          <w:type w:val="continuous"/>
        </w:sectPr>
      </w:pPr>
    </w:p>
    <w:bookmarkStart w:id="32" w:name="page33"/>
    <w:bookmarkEnd w:id="32"/>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02" w:lineRule="exact"/>
        <w:rPr>
          <w:sz w:val="20"/>
          <w:szCs w:val="20"/>
          <w:color w:val="auto"/>
        </w:rPr>
      </w:pPr>
    </w:p>
    <w:p>
      <w:pPr>
        <w:ind w:left="340" w:right="240"/>
        <w:spacing w:after="0" w:line="256" w:lineRule="auto"/>
        <w:rPr>
          <w:sz w:val="20"/>
          <w:szCs w:val="20"/>
          <w:color w:val="auto"/>
        </w:rPr>
      </w:pPr>
      <w:r>
        <w:rPr>
          <w:rFonts w:ascii="Times New Roman" w:cs="Times New Roman" w:eastAsia="Times New Roman" w:hAnsi="Times New Roman"/>
          <w:sz w:val="18"/>
          <w:szCs w:val="18"/>
          <w:color w:val="auto"/>
        </w:rPr>
        <w:t>On March 8, 2021, the Company entered into an Equity Commitment and Investment Agreement with the PIPE Investor, pursuant to which 25,000 PIPE Shares were purchased for $1,000 per share and an aggregate purchase price of $25.0 million on November 19, 2021. The former Chairman of the Company’s Board of Directors and current Director, Patrick D. Walsh, is an operating partner of Ampersand Capital Partners, an affiliate of the PIPE Investor. During the quarter ended September 30, 2025, all PIPE Shares were converted to shares of common stock, and as such there were no PIPE Shares outstanding as of September 30, 2026. Refer to Note 9 “Stockholders’ Equity” in the notes to the condensed consolidated financial statements (unaudited) for further information related to the conversion of the PIPE Shares.</w:t>
      </w:r>
    </w:p>
    <w:p>
      <w:pPr>
        <w:spacing w:after="0" w:line="147"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Novitium, the Company entered into employment agreements with the two executives and founders of Novitium, Muthusamy Shanmugam, Head of R&amp;D and COO of New Jersey Operations of ANI, and Chad Gassert, Senior Vice President, Corporate Development and Strategy of ANI, and both serve as executive officers of the Company. Mr. Shanmugam holds a minority interest in Scitus Pharma Services Private Limited (“Scitus”), which provides clinical research services to Novitium. Mr. Shanmugam holds interests in certain entities with which the Company conducts business, including a majority interest in SS Pharma LLC (“SS Pharma”), which acquires and supplies API to Novitium; a minority interest in Nuray, from which the Company acquired certain intangible assets; a majority interest in each of Esjay Pharma Private Limited and Esjay LLC (collectively, “Esjay”), which provides research and development services, certain finished goods, and certain consulting services to the Company; and a minority interest in each of SThree Chemicals Pvt Ltd and SThree Chemicals LLC (collectively, “SThree”), which acquires and supplies API to Novitium.</w:t>
      </w:r>
    </w:p>
    <w:p>
      <w:pPr>
        <w:spacing w:after="0" w:line="148" w:lineRule="exact"/>
        <w:rPr>
          <w:sz w:val="20"/>
          <w:szCs w:val="20"/>
          <w:color w:val="auto"/>
        </w:rPr>
      </w:pPr>
    </w:p>
    <w:p>
      <w:pPr>
        <w:ind w:left="340" w:right="200"/>
        <w:spacing w:after="0" w:line="281" w:lineRule="auto"/>
        <w:rPr>
          <w:sz w:val="20"/>
          <w:szCs w:val="20"/>
          <w:color w:val="auto"/>
        </w:rPr>
      </w:pPr>
      <w:r>
        <w:rPr>
          <w:rFonts w:ascii="Times New Roman" w:cs="Times New Roman" w:eastAsia="Times New Roman" w:hAnsi="Times New Roman"/>
          <w:sz w:val="17"/>
          <w:szCs w:val="17"/>
          <w:color w:val="auto"/>
        </w:rPr>
        <w:t>During the nine months ended September 30, 2026, the Company paid approximately $5.3 million of consideration for the acquisition of certain intangible assets to Nuray, and recorded $1.0 million as contingent consideration for the acquisition of certain intangible assets. During the three and nine months ended September 30, 2026, the Company paid approximately $0.9 million and $1.6 million of royalty payments to Nuray, respectively. The Company has accrued approximately $0.9 million of royalty payments due to Nuray for net sales related to the third quarter of 2026.</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payments to related parties is presented below:</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35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Scitus</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Nuray</w:t>
            </w:r>
          </w:p>
        </w:tc>
        <w:tc>
          <w:tcPr>
            <w:tcW w:w="1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SThree</w:t>
            </w:r>
          </w:p>
        </w:tc>
        <w:tc>
          <w:tcPr>
            <w:tcW w:w="13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r>
      <w:tr>
        <w:trPr>
          <w:trHeight w:val="243"/>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Esjay</w:t>
            </w:r>
          </w:p>
        </w:tc>
        <w:tc>
          <w:tcPr>
            <w:tcW w:w="1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r>
      <w:tr>
        <w:trPr>
          <w:trHeight w:val="262"/>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As of September 30, 2026, the outstanding balances due to Nuray, Scitus, Esjay, and SThree were $1.9 million, $0.7 million, $0.2 million, and $2.2 million, respectively. There were no payments to SS Pharma during the three and nine months ended September 30, 2026, and no outstanding balance due.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3" w:name="page34"/>
    <w:bookmarkEnd w:id="33"/>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2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An operating segment is defined as a component of an entity that engages in business activities from which it may recognize revenues and incur expenses, the operating results of which are regularly reviewed by the entity’s chief operating decision maker (“CODM”) to make decisions about resources to be allocated to the segment and assess its performance, and for which discrete financial information is available. The CODM for the Company is the Chief Executive Officer. The Company does not aggregate its operating segments for reporting purposes, and therefore, the reportable segments are the same as its operating segments.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organized into two operating segments as follows:</w:t>
      </w:r>
    </w:p>
    <w:p>
      <w:pPr>
        <w:spacing w:after="0" w:line="208" w:lineRule="exact"/>
        <w:rPr>
          <w:sz w:val="20"/>
          <w:szCs w:val="20"/>
          <w:color w:val="auto"/>
        </w:rPr>
      </w:pPr>
    </w:p>
    <w:p>
      <w:pPr>
        <w:ind w:left="980" w:hanging="324"/>
        <w:spacing w:after="0" w:line="243"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Rare Disease and Brands </w:t>
      </w:r>
      <w:r>
        <w:rPr>
          <w:rFonts w:ascii="Times New Roman" w:cs="Times New Roman" w:eastAsia="Times New Roman" w:hAnsi="Times New Roman"/>
          <w:sz w:val="18"/>
          <w:szCs w:val="18"/>
          <w:color w:val="auto"/>
        </w:rPr>
        <w:t>– Consists of two reporting units, Rare Disease and Brands. The Rare Disease unit consists of operations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development, manufacture and marketing of proprietary branded pharmaceutical products, with a strategic focus on products used in the treatment of patients with rare disease conditions, including operations related to Cortrophin Gel and ILUVIEN (there were no sales of YUTIQ during the nine months ended September 30, 2026), royalties, and other revenues. In addition, the Brands reporting unit includes a portfolio of approximately 20 branded products that are principally sold in highly genericized markets.</w:t>
      </w:r>
    </w:p>
    <w:p>
      <w:pPr>
        <w:spacing w:after="0" w:line="153" w:lineRule="exact"/>
        <w:rPr>
          <w:rFonts w:ascii="Times New Roman" w:cs="Times New Roman" w:eastAsia="Times New Roman" w:hAnsi="Times New Roman"/>
          <w:sz w:val="18"/>
          <w:szCs w:val="18"/>
          <w:color w:val="auto"/>
        </w:rPr>
      </w:pPr>
    </w:p>
    <w:p>
      <w:pPr>
        <w:ind w:left="980" w:right="140" w:hanging="324"/>
        <w:spacing w:after="0" w:line="262" w:lineRule="auto"/>
        <w:tabs>
          <w:tab w:leader="none" w:pos="9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Generics and Other </w:t>
      </w:r>
      <w:r>
        <w:rPr>
          <w:rFonts w:ascii="Times New Roman" w:cs="Times New Roman" w:eastAsia="Times New Roman" w:hAnsi="Times New Roman"/>
          <w:sz w:val="18"/>
          <w:szCs w:val="18"/>
          <w:color w:val="auto"/>
        </w:rPr>
        <w:t>– Consists of operations related to the development, manufacture, and marketing of generic pharmaceutical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those sold through traditional wholesale and retail sales channels, sales of contract manufactured products, royalties on contract manufactured products, and other pharmaceutical services. As of September 30, 2026, this reporting segment was comprised of 138 product families.</w:t>
      </w:r>
    </w:p>
    <w:p>
      <w:pPr>
        <w:spacing w:after="0" w:line="153" w:lineRule="exact"/>
        <w:rPr>
          <w:sz w:val="20"/>
          <w:szCs w:val="20"/>
          <w:color w:val="auto"/>
        </w:rPr>
      </w:pPr>
    </w:p>
    <w:p>
      <w:pPr>
        <w:ind w:left="340" w:right="320"/>
        <w:spacing w:after="0" w:line="261" w:lineRule="auto"/>
        <w:rPr>
          <w:sz w:val="20"/>
          <w:szCs w:val="20"/>
          <w:color w:val="auto"/>
        </w:rPr>
      </w:pPr>
      <w:r>
        <w:rPr>
          <w:rFonts w:ascii="Times New Roman" w:cs="Times New Roman" w:eastAsia="Times New Roman" w:hAnsi="Times New Roman"/>
          <w:sz w:val="18"/>
          <w:szCs w:val="18"/>
          <w:color w:val="auto"/>
        </w:rPr>
        <w:t>The CODM evaluates the performance of the Company as two operating segments based on revenues and operating income (loss), exclusive of corporate expenses and other expenses not directly allocated or attributable to an operating segment. Generally, these expenses include, but are not limited to, certain management, legal, accounting, human resources, insurance, and information technology expenses, as well as transaction and integration expenses related to the acquisition of Alimera and other acquisitions.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does not manage assets of the Company by operating segment and the CODM does not review asset information by operating segment.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Accordingly, the Company does not present total assets by operating segment.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information by reportable segment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154305</wp:posOffset>
            </wp:positionV>
            <wp:extent cx="3968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24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Generics and</w:t>
            </w:r>
          </w:p>
        </w:tc>
        <w:tc>
          <w:tcPr>
            <w:tcW w:w="80" w:type="dxa"/>
            <w:vAlign w:val="bottom"/>
          </w:tcPr>
          <w:p>
            <w:pPr>
              <w:spacing w:after="0"/>
              <w:rPr>
                <w:sz w:val="19"/>
                <w:szCs w:val="19"/>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Rare Disease and</w:t>
            </w: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320" w:type="dxa"/>
            <w:vAlign w:val="bottom"/>
          </w:tcPr>
          <w:p>
            <w:pPr>
              <w:spacing w:after="0"/>
              <w:rPr>
                <w:sz w:val="19"/>
                <w:szCs w:val="19"/>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Brands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290,777</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111,531</w:t>
            </w:r>
          </w:p>
        </w:tc>
        <w:tc>
          <w:tcPr>
            <w:tcW w:w="0" w:type="dxa"/>
            <w:vAlign w:val="bottom"/>
          </w:tcPr>
          <w:p>
            <w:pPr>
              <w:spacing w:after="0"/>
              <w:rPr>
                <w:sz w:val="1"/>
                <w:szCs w:val="1"/>
                <w:color w:val="auto"/>
              </w:rPr>
            </w:pPr>
          </w:p>
        </w:tc>
      </w:tr>
      <w:tr>
        <w:trPr>
          <w:trHeight w:val="243"/>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0" w:type="dxa"/>
            <w:vAlign w:val="bottom"/>
          </w:tcPr>
          <w:p>
            <w:pPr>
              <w:spacing w:after="0"/>
              <w:rPr>
                <w:sz w:val="1"/>
                <w:szCs w:val="1"/>
                <w:color w:val="auto"/>
              </w:rPr>
            </w:pPr>
          </w:p>
        </w:tc>
      </w:tr>
      <w:tr>
        <w:trPr>
          <w:trHeight w:val="243"/>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94,862</w:t>
            </w:r>
          </w:p>
        </w:tc>
        <w:tc>
          <w:tcPr>
            <w:tcW w:w="0" w:type="dxa"/>
            <w:vAlign w:val="bottom"/>
          </w:tcPr>
          <w:p>
            <w:pPr>
              <w:spacing w:after="0"/>
              <w:rPr>
                <w:sz w:val="1"/>
                <w:szCs w:val="1"/>
                <w:color w:val="auto"/>
              </w:rPr>
            </w:pPr>
          </w:p>
        </w:tc>
      </w:tr>
      <w:tr>
        <w:trPr>
          <w:trHeight w:val="243"/>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7"/>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39,164</w:t>
            </w:r>
          </w:p>
        </w:tc>
        <w:tc>
          <w:tcPr>
            <w:tcW w:w="3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62,143</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(48,934)</w:t>
            </w: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52,373</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 in equity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4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39,164</w:t>
            </w:r>
          </w:p>
        </w:tc>
        <w:tc>
          <w:tcPr>
            <w:tcW w:w="3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(52,266)</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34" w:name="page35"/>
    <w:bookmarkEnd w:id="34"/>
    <w:p>
      <w:pPr>
        <w:spacing w:after="0" w:line="200" w:lineRule="exact"/>
        <w:rPr>
          <w:sz w:val="20"/>
          <w:szCs w:val="20"/>
          <w:color w:val="auto"/>
        </w:rPr>
      </w:pPr>
    </w:p>
    <w:p>
      <w:pPr>
        <w:spacing w:after="0" w:line="2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Revenues</w:t>
      </w:r>
    </w:p>
    <w:p>
      <w:pPr>
        <w:spacing w:after="0" w:line="63" w:lineRule="exact"/>
        <w:rPr>
          <w:sz w:val="20"/>
          <w:szCs w:val="20"/>
          <w:color w:val="auto"/>
        </w:rPr>
      </w:pPr>
    </w:p>
    <w:p>
      <w:pPr>
        <w:ind w:left="460"/>
        <w:spacing w:after="0" w:line="289" w:lineRule="auto"/>
        <w:rPr>
          <w:sz w:val="20"/>
          <w:szCs w:val="20"/>
          <w:color w:val="auto"/>
        </w:rPr>
      </w:pPr>
      <w:r>
        <w:rPr>
          <w:rFonts w:ascii="Times New Roman" w:cs="Times New Roman" w:eastAsia="Times New Roman" w:hAnsi="Times New Roman"/>
          <w:sz w:val="18"/>
          <w:szCs w:val="18"/>
          <w:color w:val="auto"/>
        </w:rPr>
        <w:t>Cost of sales (excluding depreciation and amortization) Research and Development expense</w:t>
      </w:r>
    </w:p>
    <w:p>
      <w:pPr>
        <w:spacing w:after="0" w:line="1" w:lineRule="exact"/>
        <w:rPr>
          <w:sz w:val="20"/>
          <w:szCs w:val="20"/>
          <w:color w:val="auto"/>
        </w:rPr>
      </w:pPr>
    </w:p>
    <w:p>
      <w:pPr>
        <w:ind w:left="460" w:right="800"/>
        <w:spacing w:after="0" w:line="281" w:lineRule="auto"/>
        <w:rPr>
          <w:sz w:val="20"/>
          <w:szCs w:val="20"/>
          <w:color w:val="auto"/>
        </w:rPr>
      </w:pPr>
      <w:r>
        <w:rPr>
          <w:rFonts w:ascii="Times New Roman" w:cs="Times New Roman" w:eastAsia="Times New Roman" w:hAnsi="Times New Roman"/>
          <w:sz w:val="18"/>
          <w:szCs w:val="18"/>
          <w:color w:val="auto"/>
        </w:rPr>
        <w:t>Selling, general, and administrative expense Depreciation and amortization</w:t>
      </w:r>
    </w:p>
    <w:p>
      <w:pPr>
        <w:spacing w:after="0" w:line="1" w:lineRule="exact"/>
        <w:rPr>
          <w:sz w:val="20"/>
          <w:szCs w:val="20"/>
          <w:color w:val="auto"/>
        </w:rPr>
      </w:pPr>
    </w:p>
    <w:p>
      <w:pPr>
        <w:ind w:left="440" w:right="600" w:firstLine="27"/>
        <w:spacing w:after="0" w:line="313" w:lineRule="auto"/>
        <w:rPr>
          <w:sz w:val="20"/>
          <w:szCs w:val="20"/>
          <w:color w:val="auto"/>
        </w:rPr>
      </w:pPr>
      <w:r>
        <w:rPr>
          <w:rFonts w:ascii="Times New Roman" w:cs="Times New Roman" w:eastAsia="Times New Roman" w:hAnsi="Times New Roman"/>
          <w:sz w:val="18"/>
          <w:szCs w:val="18"/>
          <w:color w:val="auto"/>
        </w:rPr>
        <w:t>Contingent consideration fair value adjustment Loss on disposal of assets</w:t>
      </w:r>
    </w:p>
    <w:p>
      <w:pPr>
        <w:ind w:left="360" w:right="1480" w:firstLine="81"/>
        <w:spacing w:after="0" w:line="360" w:lineRule="auto"/>
        <w:rPr>
          <w:sz w:val="20"/>
          <w:szCs w:val="20"/>
          <w:color w:val="auto"/>
        </w:rPr>
      </w:pPr>
      <w:r>
        <w:rPr>
          <w:rFonts w:ascii="Times New Roman" w:cs="Times New Roman" w:eastAsia="Times New Roman" w:hAnsi="Times New Roman"/>
          <w:sz w:val="18"/>
          <w:szCs w:val="18"/>
          <w:color w:val="auto"/>
        </w:rPr>
        <w:t>Intangible asset impairment charge Operating Income (Loss)</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968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68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39687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Generics and</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Rare Disease and</w:t>
            </w: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320" w:type="dxa"/>
            <w:vAlign w:val="bottom"/>
          </w:tcPr>
          <w:p>
            <w:pPr>
              <w:spacing w:after="0"/>
              <w:rPr>
                <w:sz w:val="18"/>
                <w:szCs w:val="18"/>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Brands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98,688</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227,813</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93,389</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76,656</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70"/>
        </w:trPr>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57"/>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41,657</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(40,492)</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-1148080</wp:posOffset>
            </wp:positionV>
            <wp:extent cx="669480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94805" cy="15430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-839470</wp:posOffset>
            </wp:positionV>
            <wp:extent cx="669480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94805" cy="15430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-530860</wp:posOffset>
            </wp:positionV>
            <wp:extent cx="669480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94805" cy="17145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-187960</wp:posOffset>
            </wp:positionV>
            <wp:extent cx="6694805"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94805" cy="17970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-1499235</wp:posOffset>
            </wp:positionV>
            <wp:extent cx="669480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94805" cy="179705"/>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4440" w:space="180"/>
            <w:col w:w="6620"/>
          </w:cols>
          <w:pgMar w:left="320" w:top="1008" w:right="339" w:bottom="1440" w:gutter="0" w:footer="0" w:header="0"/>
        </w:sectPr>
      </w:pPr>
    </w:p>
    <w:tbl>
      <w:tblPr>
        <w:tblLayout w:type="fixed"/>
        <w:tblInd w:w="0" w:type="dxa"/>
        <w:tblCellMar>
          <w:top w:w="0" w:type="dxa"/>
          <w:left w:w="0" w:type="dxa"/>
          <w:bottom w:w="0" w:type="dxa"/>
          <w:right w:w="0" w:type="dxa"/>
        </w:tblCellMar>
      </w:tblPr>
      <w:tr>
        <w:trPr>
          <w:trHeight w:val="243"/>
        </w:trPr>
        <w:tc>
          <w:tcPr>
            <w:tcW w:w="340" w:type="dxa"/>
            <w:vAlign w:val="bottom"/>
          </w:tcPr>
          <w:p>
            <w:pPr>
              <w:spacing w:after="0"/>
              <w:rPr>
                <w:sz w:val="21"/>
                <w:szCs w:val="21"/>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 in equity securities</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35,075</w:t>
            </w: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41,657</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220" w:type="dxa"/>
            <w:vAlign w:val="bottom"/>
            <w:tcBorders>
              <w:top w:val="single" w:sz="8" w:color="auto"/>
              <w:bottom w:val="single" w:sz="8" w:color="auto"/>
            </w:tcBorders>
            <w:gridSpan w:val="11"/>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vMerge w:val="restart"/>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Generics and</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Rare Disease and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320" w:type="dxa"/>
            <w:vAlign w:val="bottom"/>
          </w:tcPr>
          <w:p>
            <w:pPr>
              <w:spacing w:after="0"/>
              <w:rPr>
                <w:sz w:val="19"/>
                <w:szCs w:val="19"/>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Brands</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8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318,306</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475,977</w:t>
            </w:r>
          </w:p>
        </w:tc>
        <w:tc>
          <w:tcPr>
            <w:tcW w:w="2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794,283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168,916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136,355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305,271</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179,315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260,178</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115,976</w:t>
            </w:r>
          </w:p>
        </w:tc>
        <w:tc>
          <w:tcPr>
            <w:tcW w:w="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150,742</w:t>
            </w: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(134,997)</w:t>
            </w: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131,721</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 in equity securities</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115,976</w:t>
            </w: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150,742</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(140,359)</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126,359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0"/>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4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35" w:name="page36"/>
    <w:bookmarkEnd w:id="35"/>
    <w:tbl>
      <w:tblPr>
        <w:tblLayout w:type="fixed"/>
        <w:tblInd w:w="34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Generics and</w:t>
            </w: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Rare Disease and</w:t>
            </w:r>
          </w:p>
        </w:tc>
        <w:tc>
          <w:tcPr>
            <w:tcW w:w="14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340" w:type="dxa"/>
            <w:vAlign w:val="bottom"/>
          </w:tcPr>
          <w:p>
            <w:pPr>
              <w:spacing w:after="0"/>
              <w:rPr>
                <w:sz w:val="19"/>
                <w:szCs w:val="19"/>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Brands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295,941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636,306</w:t>
            </w:r>
          </w:p>
        </w:tc>
        <w:tc>
          <w:tcPr>
            <w:tcW w:w="0" w:type="dxa"/>
            <w:vAlign w:val="bottom"/>
          </w:tcPr>
          <w:p>
            <w:pPr>
              <w:spacing w:after="0"/>
              <w:rPr>
                <w:sz w:val="1"/>
                <w:szCs w:val="1"/>
                <w:color w:val="auto"/>
              </w:rPr>
            </w:pPr>
          </w:p>
        </w:tc>
      </w:tr>
      <w:tr>
        <w:trPr>
          <w:trHeight w:val="27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241,041</w:t>
            </w:r>
          </w:p>
        </w:tc>
        <w:tc>
          <w:tcPr>
            <w:tcW w:w="0" w:type="dxa"/>
            <w:vAlign w:val="bottom"/>
          </w:tcPr>
          <w:p>
            <w:pPr>
              <w:spacing w:after="0"/>
              <w:rPr>
                <w:sz w:val="1"/>
                <w:szCs w:val="1"/>
                <w:color w:val="auto"/>
              </w:rPr>
            </w:pPr>
          </w:p>
        </w:tc>
      </w:tr>
      <w:tr>
        <w:trPr>
          <w:trHeight w:val="24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234,955</w:t>
            </w:r>
          </w:p>
        </w:tc>
        <w:tc>
          <w:tcPr>
            <w:tcW w:w="0" w:type="dxa"/>
            <w:vAlign w:val="bottom"/>
          </w:tcPr>
          <w:p>
            <w:pPr>
              <w:spacing w:after="0"/>
              <w:rPr>
                <w:sz w:val="1"/>
                <w:szCs w:val="1"/>
                <w:color w:val="auto"/>
              </w:rPr>
            </w:pPr>
          </w:p>
        </w:tc>
      </w:tr>
      <w:tr>
        <w:trPr>
          <w:trHeight w:val="24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6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121,797</w:t>
            </w:r>
          </w:p>
        </w:tc>
        <w:tc>
          <w:tcPr>
            <w:tcW w:w="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92,253</w:t>
            </w: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(137,724)</w:t>
            </w: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76,326</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 in equity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0" w:type="dxa"/>
            <w:vAlign w:val="bottom"/>
          </w:tcPr>
          <w:p>
            <w:pPr>
              <w:spacing w:after="0"/>
              <w:rPr>
                <w:sz w:val="1"/>
                <w:szCs w:val="1"/>
                <w:color w:val="auto"/>
              </w:rPr>
            </w:pPr>
          </w:p>
        </w:tc>
      </w:tr>
      <w:tr>
        <w:trPr>
          <w:trHeight w:val="24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6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121,797</w:t>
            </w:r>
          </w:p>
        </w:tc>
        <w:tc>
          <w:tcPr>
            <w:tcW w:w="8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92,253</w:t>
            </w:r>
          </w:p>
        </w:tc>
        <w:tc>
          <w:tcPr>
            <w:tcW w:w="8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(149,738)</w:t>
            </w:r>
          </w:p>
        </w:tc>
        <w:tc>
          <w:tcPr>
            <w:tcW w:w="8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64,312</w:t>
            </w:r>
          </w:p>
        </w:tc>
        <w:tc>
          <w:tcPr>
            <w:tcW w:w="0" w:type="dxa"/>
            <w:vAlign w:val="bottom"/>
          </w:tcPr>
          <w:p>
            <w:pPr>
              <w:spacing w:after="0"/>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628650</wp:posOffset>
            </wp:positionV>
            <wp:extent cx="4003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left="340" w:right="600"/>
        <w:spacing w:after="0" w:line="266" w:lineRule="auto"/>
        <w:rPr>
          <w:sz w:val="20"/>
          <w:szCs w:val="20"/>
          <w:color w:val="auto"/>
        </w:rPr>
      </w:pPr>
      <w:r>
        <w:rPr>
          <w:rFonts w:ascii="Times New Roman" w:cs="Times New Roman" w:eastAsia="Times New Roman" w:hAnsi="Times New Roman"/>
          <w:sz w:val="18"/>
          <w:szCs w:val="18"/>
          <w:color w:val="auto"/>
        </w:rPr>
        <w:t>From October 1, 2026 through November 2, 2026, the Company repurchased 173,143 shares of its common stock under the Share Repurchase Program for approximately $12.5 million, including direct costs. See Note 9 “Stockholders’ Equity” in the notes to the condensed consolidated financial statements (unaudited) for further information related to the Share Repurchase Program.</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Offer to Acquire Outstanding Shares of Egetis Therapeutics</w:t>
      </w:r>
    </w:p>
    <w:p>
      <w:pPr>
        <w:spacing w:after="0" w:line="229"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On November 5, 2026, the Company announced a recommended public offer to acquire the shares in Egetis Therapeutics AB (“Egetis”) for SEK 11.25 per share, representing a 27% premium to the 60-day VWAP, as well as the convertible debt and the warrants issued by Egetis (the “Offer”). The Offer, if consummated, would add EMCITATE® (tiratricol), the first and only approved treatment in the U.S. and Europe for peripheral thyrotoxicosis associated with MCT8 deficiency, a rare genetic disorder, supported by Orphan Drug exclusivity and patent protection into 2045. The value of the Offer, including outstanding incentive programs, amounts to approximately SEK 5.6 billion or approximately $560.0 million (calculated utilizing 30 trading day average USD to SEK exchange rate of 9.9471 as of November 3, 2026).</w:t>
      </w:r>
    </w:p>
    <w:p>
      <w:pPr>
        <w:spacing w:after="0" w:line="187"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On November 4, 2026, Egetis announced that it had entered into a definitive asset purchase agreement to sell its Rare Pediatric Disease Priority Review Voucher (“PRV”) for gross proceeds of $190.0 million. Upon the closing of the PRV sale, former owners of Rare Thyroid Therapeutics International AB (“RTTI”) will receive an earn-out of their share under agreements governing Egetis’ acquisition of RTTI. The consideration in the Offer fully reflects the net value of the PRV on the terms of that sale. When adjusted for the estimated PRV net proceeds, the enterprise value reflected in the Offer is approximately $434.0 million.</w:t>
      </w:r>
    </w:p>
    <w:p>
      <w:pPr>
        <w:spacing w:after="0" w:line="183"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The Board of Directors of Egetis unanimously recommends that Egetis’ shareholders and the holder of the convertible and the warrants accept the Offer. In addition, shareholders representing in total approximately 42% of the total number of outstanding shares in Egetis, have undertaken to accept the Offer, under certain conditions. The Offer is subject to customary closing conditions, including that the Offer is accepted by shareholders representing at least 90% of the outstanding shares in Egetis, and that ANI receives necessary regulatory approvals.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On November 4, 2026, in connection with the Offer, the Company entered into a credit agreement (the “Credit Agreement”) relating to a 364-day senior bridge facility (the “Facility”), with the lenders named therein and JPMorgan Chase Bank, N.A., as administrative agent. The Facility provides for borrowings up to an aggregate principal amount of $676.0 million and matures 364 days after the initial day of funding.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6" w:name="page37"/>
    <w:bookmarkEnd w:id="3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the condensed consolidated financial statements (unaudited) and the accompanying notes thereto included in Part I, Item 1 of this Quarterly Report on Form 10-Q, the audited consolidated financial statements and the accompanying notes thereto in our Annual Report on Form 10-K for the fiscal year ended December 31, 2025 (the “2025 Form 10-K”), as well as the information contained under Management’s Discussion and Analysis of Financial Condition and Results of Operations and “Risk Factors” contained in the 2025 Form 10-K, and Part II, Item 1A “Risk Factors” of this Quarterly Report on Form 10-Q, and other information provided from time to time in our other filings with the SEC. This discussion contains forward-looking statements, based on current expectations and related to future events and our future financial performance, that involve risks and uncertainties. Our actual results may differ materially from those anticipated in these forward-looking statements as a result of many important factors, including those set forth under “Risk Factors” in our 2025 Form 10-K and this Quarterly Report on Form 10-Q.</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OVERVIEW</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ANI Pharmaceuticals is a diversified bio-pharmaceutical company. The Company’s mission is “Serving Patients, Improving Lives” by developing, manufacturing, and commercializing therapeutics through its Rare Disease, Generics and Other, and Brands businesses.</w:t>
      </w:r>
    </w:p>
    <w:p>
      <w:pPr>
        <w:spacing w:after="0" w:line="12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On September 16, 2024, the Company acquired Alimera Sciences, Inc. (“Alimera”). In connection with the acquisition of Alimera, the Company added a growing and durable franchise, ILUVIEN (fluocinolone acetonide intravitreal implant) 0.19 mg, which has received marketing authorization and reimbursement in the United States (“U.S.”) and 24 countries for the treatment of diabetic macular edema (“DME”) and YUTIQ (fluocinolone acetonide intravitreal implant) 0.18 mg, available in the U.S. for the treatment of non-infectious uveitis affecting the posterior segment of the eye (“NIU-PS”). Subsequent to the acquisition of Alimera, we expanded the label for ILUVIEN to include an indication for chronic NIU-PS in addition to its then-current indication in DME in the U.S.</w:t>
      </w:r>
    </w:p>
    <w:p>
      <w:pPr>
        <w:spacing w:after="0" w:line="1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owns and operates three pharmaceutical manufacturing facilities, which include two facilities in Baudette, Minnesota, and one in East Windsor, New Jersey, which collectively are capable of producing oral solid dose products, as well as semi-solids, liquids and topicals, controlled substances, and potent products that must be manufactured in a fully-contained environment.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objective is to build a sustainable and growing biopharmaceutical company serving patients in need and creating long-term value for our investors. Our overall strategy is enabled by an empowered, collaborative, and purposeful team with high performance-orientation that seeks to deliver on our purpose of “Serving Patients, Improving Lives.”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is driven by the following key growth drivers: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 a Successful Rare Disease and Brands Segment</w:t>
      </w:r>
    </w:p>
    <w:p>
      <w:pPr>
        <w:spacing w:after="0" w:line="24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spend significant time, effort and resources in expanding our Rare Disease and Brands segment which consists of our Rare Disease and Brands portfolio of products.</w:t>
      </w:r>
    </w:p>
    <w:p>
      <w:pPr>
        <w:spacing w:after="0" w:line="18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We acquired the NDAs for Purified Cortrophin® Gel (Repository Corticotropin Injection USP) (“Cortrophin Gel”) and Cortrophin-Zinc</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in January 2016 and executed long-term supply agreements with a supplier of our primary raw material for corticotropin API, a supplier of corticotropin API with whom we have advanced the manufacture of commercial scale batches of API, and a Cortrophin Gel fill/finish contract manufacturer. On October 29, 2021, the U.S. Food and Drug Administration (“FDA”) approved the Company’s Supplemental New Drug Application (“sNDA”) for Cortrophin Gel for the treatment of certain chronic autoimmune disorders, including acute exacerbations of multiple sclerosis (“MS”) and rheumatoid arthritis (“RA”), in addition to excess urinary protein due to nephrotic syndrome. Cortrophin Gel is an adrenocorticotropic hormone (“ACTH”), also known as purified corticotropin. On January 24, 2022, we announced the commercial launch of Cortrophin Gel in the U.S. as our foundational Rare Disease asset.</w:t>
      </w:r>
    </w:p>
    <w:p>
      <w:pPr>
        <w:spacing w:after="0" w:line="1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28, 2025, the FDA approved a prefilled syringe format for Cortrophin Gel. This new presentation became available in 40 USP units/0.5 mL and 80 USP units/mL single-dose options through Cortrophin Gel’s established specialty pharmacy network during the second quarter of 2025. The prefilled syringe reduces administration steps for patients using Cortrophin Gel, which remains available in 5 mL and 1 mL vials.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941" w:right="359" w:bottom="1440" w:gutter="0" w:footer="0" w:header="0"/>
        </w:sectPr>
      </w:pPr>
    </w:p>
    <w:bookmarkStart w:id="37" w:name="page38"/>
    <w:bookmarkEnd w:id="37"/>
    <w:p>
      <w:pPr>
        <w:ind w:left="8" w:right="300"/>
        <w:spacing w:after="0" w:line="266" w:lineRule="auto"/>
        <w:rPr>
          <w:sz w:val="20"/>
          <w:szCs w:val="20"/>
          <w:color w:val="auto"/>
        </w:rPr>
      </w:pPr>
      <w:r>
        <w:rPr>
          <w:rFonts w:ascii="Times New Roman" w:cs="Times New Roman" w:eastAsia="Times New Roman" w:hAnsi="Times New Roman"/>
          <w:sz w:val="18"/>
          <w:szCs w:val="18"/>
          <w:color w:val="auto"/>
        </w:rPr>
        <w:t>During 2026, we have built a dedicated sales organization focused on acute gouty arthritis flares, an indication unique to Cortrophin Gel within the ACTH class. Our dedicated sales force is focused on the appropriate patient population through podiatry and primary care physicians, while our existing sales organization will continue to focus on appropriate acute gouty arthritis flare patients seen by rheumatologists and nephrologists.</w:t>
      </w:r>
    </w:p>
    <w:p>
      <w:pPr>
        <w:spacing w:after="0" w:line="149" w:lineRule="exact"/>
        <w:rPr>
          <w:sz w:val="20"/>
          <w:szCs w:val="20"/>
          <w:color w:val="auto"/>
        </w:rPr>
      </w:pPr>
    </w:p>
    <w:p>
      <w:pPr>
        <w:ind w:left="8"/>
        <w:spacing w:after="0" w:line="256" w:lineRule="auto"/>
        <w:rPr>
          <w:sz w:val="20"/>
          <w:szCs w:val="20"/>
          <w:color w:val="auto"/>
        </w:rPr>
      </w:pPr>
      <w:r>
        <w:rPr>
          <w:rFonts w:ascii="Times New Roman" w:cs="Times New Roman" w:eastAsia="Times New Roman" w:hAnsi="Times New Roman"/>
          <w:sz w:val="18"/>
          <w:szCs w:val="18"/>
          <w:color w:val="auto"/>
        </w:rPr>
        <w:t>In September 2024, we acquired ILUVIEN and YUTIQ (together, the “Retina Franchise”) in connection with the acquisition of Alimera. The acquisition of Alimera strengthened our Rare Disease business and expanded our footprint beyond the U.S. through Alimera’s direct marketing operations in Germany, the United Kingdom (“UK”), Portugal, and Ireland, as well as its partnerships in Europe, Asia, and the Middle East. We believe that the Retina Franchise is durable with high barriers to genericization and a clear role for patients in need of alternative therapeutic options. Importantly, the addition of Alimera expanded the reach of the ophthalmology sales team and we believe there will be significant overlap between high potential prescribers of Cortrophin Gel and the Retina Franchise.</w:t>
      </w:r>
    </w:p>
    <w:p>
      <w:pPr>
        <w:spacing w:after="0" w:line="147" w:lineRule="exact"/>
        <w:rPr>
          <w:sz w:val="20"/>
          <w:szCs w:val="20"/>
          <w:color w:val="auto"/>
        </w:rPr>
      </w:pPr>
    </w:p>
    <w:p>
      <w:pPr>
        <w:ind w:left="8" w:right="160"/>
        <w:spacing w:after="0" w:line="266" w:lineRule="auto"/>
        <w:rPr>
          <w:sz w:val="20"/>
          <w:szCs w:val="20"/>
          <w:color w:val="auto"/>
        </w:rPr>
      </w:pPr>
      <w:r>
        <w:rPr>
          <w:rFonts w:ascii="Times New Roman" w:cs="Times New Roman" w:eastAsia="Times New Roman" w:hAnsi="Times New Roman"/>
          <w:sz w:val="18"/>
          <w:szCs w:val="18"/>
          <w:color w:val="auto"/>
        </w:rPr>
        <w:t>As noted above, during March 2025, the FDA approved an expanded label for ILUVIEN (fluocinolone acetonide intravitreal implant) to include an indication for the treatment of chronic NIU-PS in addition to the then-current indication of DME. During the second quarter of 2025, we transitioned promotional efforts in the U.S. from YUTIQ to ILUVIEN with its combined label of DME and NIU-PS.</w:t>
      </w:r>
    </w:p>
    <w:p>
      <w:pPr>
        <w:spacing w:after="0" w:line="135" w:lineRule="exact"/>
        <w:rPr>
          <w:sz w:val="20"/>
          <w:szCs w:val="20"/>
          <w:color w:val="auto"/>
        </w:rPr>
      </w:pPr>
    </w:p>
    <w:p>
      <w:pPr>
        <w:ind w:left="8" w:right="100"/>
        <w:spacing w:after="0" w:line="261" w:lineRule="auto"/>
        <w:rPr>
          <w:sz w:val="20"/>
          <w:szCs w:val="20"/>
          <w:color w:val="auto"/>
        </w:rPr>
      </w:pPr>
      <w:r>
        <w:rPr>
          <w:rFonts w:ascii="Times New Roman" w:cs="Times New Roman" w:eastAsia="Times New Roman" w:hAnsi="Times New Roman"/>
          <w:sz w:val="18"/>
          <w:szCs w:val="18"/>
          <w:color w:val="auto"/>
        </w:rPr>
        <w:t>We plan to continue to expand our Rare Disease business, through a combination of organic growth and acquisitions. While we execute against our strategic initiatives that we believe will result in long-term, sustainable growth and value to our stockholders, we continue to evaluate potential acquisitions and other strategic transactions of businesses that we believe complement our existing portfolio, infrastructure and capabilities or provide us with the opportunity to expand our existing capabilities.</w:t>
      </w:r>
    </w:p>
    <w:p>
      <w:pPr>
        <w:spacing w:after="0" w:line="153" w:lineRule="exact"/>
        <w:rPr>
          <w:sz w:val="20"/>
          <w:szCs w:val="20"/>
          <w:color w:val="auto"/>
        </w:rPr>
      </w:pPr>
    </w:p>
    <w:p>
      <w:pPr>
        <w:ind w:left="8" w:right="220"/>
        <w:spacing w:after="0" w:line="261" w:lineRule="auto"/>
        <w:rPr>
          <w:sz w:val="20"/>
          <w:szCs w:val="20"/>
          <w:color w:val="auto"/>
        </w:rPr>
      </w:pPr>
      <w:r>
        <w:rPr>
          <w:rFonts w:ascii="Times New Roman" w:cs="Times New Roman" w:eastAsia="Times New Roman" w:hAnsi="Times New Roman"/>
          <w:sz w:val="18"/>
          <w:szCs w:val="18"/>
          <w:color w:val="auto"/>
        </w:rPr>
        <w:t>The Brands portion of the Rare Disease and Brands segment is comprised of various branded products. We have grown our Brands portfolio of products through acquisitions. We have acquired the NDAs for and market Atacand, Atacand HCT, Arimidex, Casodex, Inderal LA, Inderal XL, InnoPran XL, Inzirqo, Lithobid, Oxistat, Vancocin, and Veregen. We are innovating in our go-to-market strategy through creative partnerships and a sales force for these products.</w:t>
      </w:r>
    </w:p>
    <w:p>
      <w:pPr>
        <w:spacing w:after="0" w:line="2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Strengthening Our Generics and Other Segment</w:t>
      </w:r>
    </w:p>
    <w:p>
      <w:pPr>
        <w:spacing w:after="0" w:line="189" w:lineRule="exact"/>
        <w:rPr>
          <w:sz w:val="20"/>
          <w:szCs w:val="20"/>
          <w:color w:val="auto"/>
        </w:rPr>
      </w:pPr>
    </w:p>
    <w:p>
      <w:pPr>
        <w:ind w:left="8" w:right="40"/>
        <w:spacing w:after="0" w:line="255" w:lineRule="auto"/>
        <w:rPr>
          <w:sz w:val="20"/>
          <w:szCs w:val="20"/>
          <w:color w:val="auto"/>
        </w:rPr>
      </w:pPr>
      <w:r>
        <w:rPr>
          <w:rFonts w:ascii="Times New Roman" w:cs="Times New Roman" w:eastAsia="Times New Roman" w:hAnsi="Times New Roman"/>
          <w:sz w:val="18"/>
          <w:szCs w:val="18"/>
          <w:color w:val="auto"/>
        </w:rPr>
        <w:t>We plan to strengthen our Generics and Other segment through continued investment in our research and development capabilities and increased focus on niche opportunities. We have grown our Generics business through a combination of market share gains on existing products and new product launches. We have also successfully acquired numerous ANDAs through business and asset acquisitions. Our most recent business acquisition in the Generics and Other segment was the acquisition of Novitium Pharma LLC (“Novitium”) in 2021, which included Novitium’s portfolio of commercial and pipeline generic products, manufacturing and development facilities and expert workforce. The Novitium acquisition significantly increased our generic pharmaceutical research and development and manufacturing capabilities. We have begun to increase our focus on niche lower competition opportunities such as injectables, paragraph IV (“PIV”), and competitive generic therapy (“CGT”) designation filings.</w:t>
      </w:r>
    </w:p>
    <w:p>
      <w:pPr>
        <w:spacing w:after="0" w:line="148" w:lineRule="exact"/>
        <w:rPr>
          <w:sz w:val="20"/>
          <w:szCs w:val="20"/>
          <w:color w:val="auto"/>
        </w:rPr>
      </w:pPr>
    </w:p>
    <w:p>
      <w:pPr>
        <w:ind w:left="8" w:right="620"/>
        <w:spacing w:after="0" w:line="282" w:lineRule="auto"/>
        <w:rPr>
          <w:sz w:val="20"/>
          <w:szCs w:val="20"/>
          <w:color w:val="auto"/>
        </w:rPr>
      </w:pPr>
      <w:r>
        <w:rPr>
          <w:rFonts w:ascii="Times New Roman" w:cs="Times New Roman" w:eastAsia="Times New Roman" w:hAnsi="Times New Roman"/>
          <w:sz w:val="18"/>
          <w:szCs w:val="18"/>
          <w:color w:val="auto"/>
        </w:rPr>
        <w:t>Additionally, we plan to continue to seek opportunities to enhance our capabilities through strategic partnerships and acquisitions of assets and businesses.</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We consider a variety of criteria in determining which products to develop. These criteria include:</w:t>
      </w:r>
    </w:p>
    <w:p>
      <w:pPr>
        <w:spacing w:after="0" w:line="248" w:lineRule="exact"/>
        <w:rPr>
          <w:sz w:val="20"/>
          <w:szCs w:val="20"/>
          <w:color w:val="auto"/>
        </w:rPr>
      </w:pPr>
    </w:p>
    <w:p>
      <w:pPr>
        <w:jc w:val="both"/>
        <w:ind w:left="328" w:right="160" w:hanging="328"/>
        <w:spacing w:after="0" w:line="268"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Formulation Complexity</w:t>
      </w:r>
      <w:r>
        <w:rPr>
          <w:rFonts w:ascii="Times New Roman" w:cs="Times New Roman" w:eastAsia="Times New Roman" w:hAnsi="Times New Roman"/>
          <w:sz w:val="18"/>
          <w:szCs w:val="18"/>
          <w:color w:val="auto"/>
        </w:rPr>
        <w:t>. Our development and manufacturing capabilities enable us to manufacture pharmaceuticals that are differentiated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high potency, modified release, combination, and hormonal products. This ability to manufacture a variety of differentiated products is a competitive strength that we intend to leverage in selecting products to develop and commercialize.</w:t>
      </w:r>
    </w:p>
    <w:p>
      <w:pPr>
        <w:spacing w:after="0" w:line="197" w:lineRule="exact"/>
        <w:rPr>
          <w:rFonts w:ascii="Times New Roman" w:cs="Times New Roman" w:eastAsia="Times New Roman" w:hAnsi="Times New Roman"/>
          <w:sz w:val="18"/>
          <w:szCs w:val="18"/>
          <w:color w:val="auto"/>
        </w:rPr>
      </w:pPr>
    </w:p>
    <w:p>
      <w:pPr>
        <w:ind w:left="328" w:right="300" w:hanging="328"/>
        <w:spacing w:after="0" w:line="268"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 Size and Patient Need</w:t>
      </w:r>
      <w:r>
        <w:rPr>
          <w:rFonts w:ascii="Times New Roman" w:cs="Times New Roman" w:eastAsia="Times New Roman" w:hAnsi="Times New Roman"/>
          <w:sz w:val="18"/>
          <w:szCs w:val="18"/>
          <w:color w:val="auto"/>
        </w:rPr>
        <w:t>. When determining whether to develop or acquire an individual product, we review the current and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size and competitive environment for that product. We endeavor to pursue products with sufficient market size to enable us to enter the market with a strong likelihood of serving patients in need and thus being able to price our products both competitively and at a profit.</w:t>
      </w:r>
    </w:p>
    <w:p>
      <w:pPr>
        <w:spacing w:after="0" w:line="197" w:lineRule="exact"/>
        <w:rPr>
          <w:rFonts w:ascii="Times New Roman" w:cs="Times New Roman" w:eastAsia="Times New Roman" w:hAnsi="Times New Roman"/>
          <w:sz w:val="18"/>
          <w:szCs w:val="18"/>
          <w:color w:val="auto"/>
        </w:rPr>
      </w:pPr>
    </w:p>
    <w:p>
      <w:pPr>
        <w:ind w:left="328" w:right="180" w:hanging="328"/>
        <w:spacing w:after="0" w:line="286"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Profit Potential. </w:t>
      </w:r>
      <w:r>
        <w:rPr>
          <w:rFonts w:ascii="Times New Roman" w:cs="Times New Roman" w:eastAsia="Times New Roman" w:hAnsi="Times New Roman"/>
          <w:sz w:val="18"/>
          <w:szCs w:val="18"/>
          <w:color w:val="auto"/>
        </w:rPr>
        <w:t>In determining the potential profit of a product, we forecast our anticipated market share, pricing, competitive environment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estimated cost to manufacture the products.</w:t>
      </w:r>
    </w:p>
    <w:p>
      <w:pPr>
        <w:spacing w:after="0" w:line="181" w:lineRule="exact"/>
        <w:rPr>
          <w:rFonts w:ascii="Times New Roman" w:cs="Times New Roman" w:eastAsia="Times New Roman" w:hAnsi="Times New Roman"/>
          <w:sz w:val="18"/>
          <w:szCs w:val="18"/>
          <w:color w:val="auto"/>
        </w:rPr>
      </w:pPr>
    </w:p>
    <w:p>
      <w:pPr>
        <w:ind w:left="328" w:right="640" w:hanging="328"/>
        <w:spacing w:after="0" w:line="286"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Manufacturing. </w:t>
      </w:r>
      <w:r>
        <w:rPr>
          <w:rFonts w:ascii="Times New Roman" w:cs="Times New Roman" w:eastAsia="Times New Roman" w:hAnsi="Times New Roman"/>
          <w:sz w:val="18"/>
          <w:szCs w:val="18"/>
          <w:color w:val="auto"/>
        </w:rPr>
        <w:t>We generally seek to develop and manufacture products at our own manufacturing plants to ensure quality control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supply chain reliability and to more closely control the economic inputs and outputs of our products.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945" w:right="359" w:bottom="1440" w:gutter="0" w:footer="0" w:header="0"/>
        </w:sectPr>
      </w:pPr>
    </w:p>
    <w:bookmarkStart w:id="38" w:name="page39"/>
    <w:bookmarkEnd w:id="38"/>
    <w:p>
      <w:pPr>
        <w:ind w:left="660" w:right="400" w:hanging="328"/>
        <w:spacing w:after="0" w:line="26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Competition. </w:t>
      </w:r>
      <w:r>
        <w:rPr>
          <w:rFonts w:ascii="Times New Roman" w:cs="Times New Roman" w:eastAsia="Times New Roman" w:hAnsi="Times New Roman"/>
          <w:sz w:val="18"/>
          <w:szCs w:val="18"/>
          <w:color w:val="auto"/>
        </w:rPr>
        <w:t>When determining whether to develop or acquire a product, we research existing and expected competition. We seek to develop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for which we can obtain sufficient market share and may decline to develop a product if we anticipate significant competition. Our manufacturing facilities provide a means of entering niche markets, such as hormone therapies, in which fewer generic companies typically compete.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complete list of our generic and branded pharmaceutical products and descriptions is posted on our website, www.anipharmaceuticals.com.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or accessible through, our website is not a part of, and is not incorporated into, this report or any other SEC filing.</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85" w:lineRule="exact"/>
        <w:rPr>
          <w:sz w:val="20"/>
          <w:szCs w:val="20"/>
          <w:color w:val="auto"/>
        </w:rPr>
      </w:pPr>
    </w:p>
    <w:p>
      <w:pPr>
        <w:ind w:left="340" w:right="320"/>
        <w:spacing w:after="0" w:line="282" w:lineRule="auto"/>
        <w:rPr>
          <w:sz w:val="20"/>
          <w:szCs w:val="20"/>
          <w:color w:val="auto"/>
        </w:rPr>
      </w:pPr>
      <w:r>
        <w:rPr>
          <w:rFonts w:ascii="Times New Roman" w:cs="Times New Roman" w:eastAsia="Times New Roman" w:hAnsi="Times New Roman"/>
          <w:sz w:val="18"/>
          <w:szCs w:val="18"/>
          <w:color w:val="auto"/>
        </w:rPr>
        <w:t>Impacts to our third quarter 2026 and 2025 results of operations, including to net revenues, operating expenses, interest and other expense, net, and income taxes are described below.</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0"/>
                <w:szCs w:val="20"/>
                <w:color w:val="auto"/>
              </w:rPr>
            </w:pPr>
          </w:p>
        </w:tc>
        <w:tc>
          <w:tcPr>
            <w:tcW w:w="35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340" w:type="dxa"/>
            <w:vAlign w:val="bottom"/>
          </w:tcPr>
          <w:p>
            <w:pPr>
              <w:spacing w:after="0"/>
              <w:rPr>
                <w:sz w:val="20"/>
                <w:szCs w:val="20"/>
                <w:color w:val="auto"/>
              </w:rPr>
            </w:pP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290,777</w:t>
            </w:r>
          </w:p>
        </w:tc>
        <w:tc>
          <w:tcPr>
            <w:tcW w:w="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227,813</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794,283</w:t>
            </w:r>
          </w:p>
        </w:tc>
        <w:tc>
          <w:tcPr>
            <w:tcW w:w="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636,306</w:t>
            </w:r>
          </w:p>
        </w:tc>
        <w:tc>
          <w:tcPr>
            <w:tcW w:w="42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20" w:type="dxa"/>
            <w:vAlign w:val="bottom"/>
          </w:tcPr>
          <w:p>
            <w:pPr>
              <w:spacing w:after="0"/>
              <w:rPr>
                <w:sz w:val="21"/>
                <w:szCs w:val="21"/>
                <w:color w:val="auto"/>
              </w:rPr>
            </w:pPr>
          </w:p>
        </w:tc>
      </w:tr>
      <w:tr>
        <w:trPr>
          <w:trHeight w:val="198"/>
        </w:trPr>
        <w:tc>
          <w:tcPr>
            <w:tcW w:w="340" w:type="dxa"/>
            <w:vAlign w:val="bottom"/>
          </w:tcPr>
          <w:p>
            <w:pPr>
              <w:spacing w:after="0"/>
              <w:rPr>
                <w:sz w:val="17"/>
                <w:szCs w:val="17"/>
                <w:color w:val="auto"/>
              </w:rPr>
            </w:pPr>
          </w:p>
        </w:tc>
        <w:tc>
          <w:tcPr>
            <w:tcW w:w="382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305,271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241,041</w:t>
            </w:r>
          </w:p>
        </w:tc>
        <w:tc>
          <w:tcPr>
            <w:tcW w:w="42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39,403</w:t>
            </w:r>
          </w:p>
        </w:tc>
        <w:tc>
          <w:tcPr>
            <w:tcW w:w="4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260,178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234,955</w:t>
            </w:r>
          </w:p>
        </w:tc>
        <w:tc>
          <w:tcPr>
            <w:tcW w:w="4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68,804</w:t>
            </w:r>
          </w:p>
        </w:tc>
        <w:tc>
          <w:tcPr>
            <w:tcW w:w="4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4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2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52,373</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36,240</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131,721</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76,326</w:t>
            </w:r>
          </w:p>
        </w:tc>
        <w:tc>
          <w:tcPr>
            <w:tcW w:w="420" w:type="dxa"/>
            <w:vAlign w:val="bottom"/>
          </w:tcPr>
          <w:p>
            <w:pPr>
              <w:spacing w:after="0"/>
              <w:rPr>
                <w:sz w:val="20"/>
                <w:szCs w:val="20"/>
                <w:color w:val="auto"/>
              </w:rPr>
            </w:pPr>
          </w:p>
        </w:tc>
      </w:tr>
      <w:tr>
        <w:trPr>
          <w:trHeight w:val="198"/>
        </w:trPr>
        <w:tc>
          <w:tcPr>
            <w:tcW w:w="340" w:type="dxa"/>
            <w:vAlign w:val="bottom"/>
          </w:tcPr>
          <w:p>
            <w:pPr>
              <w:spacing w:after="0"/>
              <w:rPr>
                <w:sz w:val="17"/>
                <w:szCs w:val="17"/>
                <w:color w:val="auto"/>
              </w:rPr>
            </w:pPr>
          </w:p>
        </w:tc>
        <w:tc>
          <w:tcPr>
            <w:tcW w:w="382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(loss) gain on investment in equity</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42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4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42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64,312</w:t>
            </w:r>
          </w:p>
        </w:tc>
        <w:tc>
          <w:tcPr>
            <w:tcW w:w="42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3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420" w:type="dxa"/>
            <w:vAlign w:val="bottom"/>
          </w:tcPr>
          <w:p>
            <w:pPr>
              <w:spacing w:after="0"/>
              <w:rPr>
                <w:sz w:val="21"/>
                <w:szCs w:val="21"/>
                <w:color w:val="auto"/>
              </w:rPr>
            </w:pPr>
          </w:p>
        </w:tc>
      </w:tr>
      <w:tr>
        <w:trPr>
          <w:trHeight w:val="261"/>
        </w:trPr>
        <w:tc>
          <w:tcPr>
            <w:tcW w:w="340" w:type="dxa"/>
            <w:vAlign w:val="bottom"/>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50,847</w:t>
            </w:r>
          </w:p>
        </w:tc>
        <w:tc>
          <w:tcPr>
            <w:tcW w:w="42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973"/>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ind w:left="340" w:right="80"/>
        <w:spacing w:after="0" w:line="279" w:lineRule="auto"/>
        <w:rPr>
          <w:sz w:val="20"/>
          <w:szCs w:val="20"/>
          <w:color w:val="auto"/>
        </w:rPr>
      </w:pPr>
      <w:r>
        <w:rPr>
          <w:rFonts w:ascii="Times New Roman" w:cs="Times New Roman" w:eastAsia="Times New Roman" w:hAnsi="Times New Roman"/>
          <w:sz w:val="18"/>
          <w:szCs w:val="18"/>
          <w:color w:val="auto"/>
        </w:rPr>
        <w:t>The following table sets forth, for the periods indicated, items in our unaudited condensed consolidated statements of operations as a percentage of net revenues: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40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r>
      <w:tr>
        <w:trPr>
          <w:trHeight w:val="236"/>
        </w:trPr>
        <w:tc>
          <w:tcPr>
            <w:tcW w:w="340" w:type="dxa"/>
            <w:vAlign w:val="bottom"/>
          </w:tcPr>
          <w:p>
            <w:pPr>
              <w:spacing w:after="0"/>
              <w:rPr>
                <w:sz w:val="20"/>
                <w:szCs w:val="20"/>
                <w:color w:val="auto"/>
              </w:rPr>
            </w:pPr>
          </w:p>
        </w:tc>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198"/>
        </w:trPr>
        <w:tc>
          <w:tcPr>
            <w:tcW w:w="340" w:type="dxa"/>
            <w:vAlign w:val="bottom"/>
          </w:tcPr>
          <w:p>
            <w:pPr>
              <w:spacing w:after="0"/>
              <w:rPr>
                <w:sz w:val="17"/>
                <w:szCs w:val="17"/>
                <w:color w:val="auto"/>
              </w:rPr>
            </w:pPr>
          </w:p>
        </w:tc>
        <w:tc>
          <w:tcPr>
            <w:tcW w:w="474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40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4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4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4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1"/>
                <w:szCs w:val="21"/>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40" w:type="dxa"/>
            <w:vAlign w:val="bottom"/>
          </w:tcPr>
          <w:p>
            <w:pPr>
              <w:spacing w:after="0"/>
              <w:rPr>
                <w:sz w:val="21"/>
                <w:szCs w:val="21"/>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400" w:type="dxa"/>
            <w:vAlign w:val="bottom"/>
          </w:tcPr>
          <w:p>
            <w:pPr>
              <w:spacing w:after="0"/>
              <w:rPr>
                <w:sz w:val="20"/>
                <w:szCs w:val="20"/>
                <w:color w:val="auto"/>
              </w:rPr>
            </w:pPr>
          </w:p>
        </w:tc>
      </w:tr>
      <w:tr>
        <w:trPr>
          <w:trHeight w:val="198"/>
        </w:trPr>
        <w:tc>
          <w:tcPr>
            <w:tcW w:w="340" w:type="dxa"/>
            <w:vAlign w:val="bottom"/>
          </w:tcPr>
          <w:p>
            <w:pPr>
              <w:spacing w:after="0"/>
              <w:rPr>
                <w:sz w:val="17"/>
                <w:szCs w:val="17"/>
                <w:color w:val="auto"/>
              </w:rPr>
            </w:pPr>
          </w:p>
        </w:tc>
        <w:tc>
          <w:tcPr>
            <w:tcW w:w="474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(loss) gain on investment in equity</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40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40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40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3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400" w:type="dxa"/>
            <w:vAlign w:val="bottom"/>
          </w:tcPr>
          <w:p>
            <w:pPr>
              <w:spacing w:after="0"/>
              <w:rPr>
                <w:sz w:val="20"/>
                <w:szCs w:val="20"/>
                <w:color w:val="auto"/>
              </w:rPr>
            </w:pPr>
          </w:p>
        </w:tc>
      </w:tr>
      <w:tr>
        <w:trPr>
          <w:trHeight w:val="21"/>
        </w:trPr>
        <w:tc>
          <w:tcPr>
            <w:tcW w:w="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750"/>
        </w:trPr>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0" w:name="page41"/>
    <w:bookmarkEnd w:id="40"/>
    <w:p>
      <w:pPr>
        <w:ind w:left="8"/>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SEPTEMBER 30, 2026 AND 2025</w:t>
      </w:r>
    </w:p>
    <w:p>
      <w:pPr>
        <w:spacing w:after="0" w:line="198" w:lineRule="exact"/>
        <w:rPr>
          <w:sz w:val="20"/>
          <w:szCs w:val="20"/>
          <w:color w:val="auto"/>
        </w:rPr>
      </w:pPr>
    </w:p>
    <w:tbl>
      <w:tblPr>
        <w:tblLayout w:type="fixed"/>
        <w:tblInd w:w="8" w:type="dxa"/>
        <w:tblCellMar>
          <w:top w:w="0" w:type="dxa"/>
          <w:left w:w="0" w:type="dxa"/>
          <w:bottom w:w="0" w:type="dxa"/>
          <w:right w:w="0" w:type="dxa"/>
        </w:tblCellMar>
      </w:tblP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45"/>
        </w:trPr>
        <w:tc>
          <w:tcPr>
            <w:tcW w:w="4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7"/>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and Brands</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3"/>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Cortrophin Gel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138,655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101,850</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36.1 %</w:t>
            </w:r>
          </w:p>
        </w:tc>
      </w:tr>
      <w:tr>
        <w:trPr>
          <w:trHeight w:val="243"/>
        </w:trPr>
        <w:tc>
          <w:tcPr>
            <w:tcW w:w="4120" w:type="dxa"/>
            <w:vAlign w:val="bottom"/>
            <w:gridSpan w:val="2"/>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ILUVIEN</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8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r>
      <w:tr>
        <w:trPr>
          <w:trHeight w:val="236"/>
        </w:trPr>
        <w:tc>
          <w:tcPr>
            <w:tcW w:w="4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total net revenues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160,909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118,450</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42,459</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37"/>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Brands</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Brand royalties and other revenues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41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and Brands total net revenues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182,347</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129,125</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53,222</w:t>
            </w:r>
          </w:p>
        </w:tc>
        <w:tc>
          <w:tcPr>
            <w:tcW w:w="8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r>
      <w:tr>
        <w:trPr>
          <w:trHeight w:val="223"/>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Generics and Other</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3"/>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Generic pharmaceutical products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43"/>
        </w:trPr>
        <w:tc>
          <w:tcPr>
            <w:tcW w:w="4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generic revenues</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7"/>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Generics and Other total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8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37"/>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290,777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227,813</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62,964</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4" w:lineRule="exact"/>
        <w:rPr>
          <w:sz w:val="20"/>
          <w:szCs w:val="20"/>
          <w:color w:val="auto"/>
        </w:rPr>
      </w:pPr>
    </w:p>
    <w:p>
      <w:pPr>
        <w:ind w:left="328" w:right="500" w:hanging="328"/>
        <w:spacing w:after="0" w:line="211" w:lineRule="auto"/>
        <w:tabs>
          <w:tab w:leader="none" w:pos="316"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sales of YUTIQ during the three months ended September 30, 2026 and 2025, as the Company transitioned U.S. promotional efforts from YUTIQ to ILUVIEN, which has a combined label of DME and NIU-PS as of the second quarter of 2025.</w:t>
      </w:r>
    </w:p>
    <w:p>
      <w:pPr>
        <w:spacing w:after="0" w:line="171" w:lineRule="exact"/>
        <w:rPr>
          <w:sz w:val="20"/>
          <w:szCs w:val="20"/>
          <w:color w:val="auto"/>
        </w:rPr>
      </w:pPr>
    </w:p>
    <w:p>
      <w:pPr>
        <w:ind w:left="8" w:right="60"/>
        <w:spacing w:after="0" w:line="254" w:lineRule="auto"/>
        <w:rPr>
          <w:sz w:val="20"/>
          <w:szCs w:val="20"/>
          <w:color w:val="auto"/>
        </w:rPr>
      </w:pPr>
      <w:r>
        <w:rPr>
          <w:rFonts w:ascii="Times New Roman" w:cs="Times New Roman" w:eastAsia="Times New Roman" w:hAnsi="Times New Roman"/>
          <w:sz w:val="18"/>
          <w:szCs w:val="18"/>
          <w:color w:val="auto"/>
        </w:rPr>
        <w:t>We derive substantially all of our revenues from sales of our Rare Disease, Brands and Generics portfolios of pharmaceutical products, as well as from other sources of revenue such as milestones, royalties on net sales of certain products, and other pharmaceutical services. Our Rare Disease products face competition from other brand products in many of the therapeutic categories in which they are sold. Essentially all of our Generics products face competition from other generic products, as do many of our Brands products, and we expect them to continue to face competition from generic products in the future. The primary means of competition among generic manufacturers are pricing, contract terms, service levels, and reliability. Increased competition generally results in decreased average selling prices of generic and brands products over time. In addition, due to strategic partnerships between wholesalers and pharmacy chains, we have experienced, and expect to continue to experience, increases in net sales to the wholesalers, with corresponding decreases in net sales to the pharmacy chains.</w:t>
      </w:r>
    </w:p>
    <w:p>
      <w:pPr>
        <w:spacing w:after="0" w:line="151" w:lineRule="exact"/>
        <w:rPr>
          <w:sz w:val="20"/>
          <w:szCs w:val="20"/>
          <w:color w:val="auto"/>
        </w:rPr>
      </w:pPr>
    </w:p>
    <w:p>
      <w:pPr>
        <w:ind w:left="8" w:right="40"/>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September 30, 2026 were $290.8 million compared to $227.8 million for the same period in 2025, an increase of 27.6%, primarily as a result of the following:</w:t>
      </w:r>
    </w:p>
    <w:p>
      <w:pPr>
        <w:spacing w:after="0" w:line="162" w:lineRule="exact"/>
        <w:rPr>
          <w:sz w:val="20"/>
          <w:szCs w:val="20"/>
          <w:color w:val="auto"/>
        </w:rPr>
      </w:pPr>
    </w:p>
    <w:p>
      <w:pPr>
        <w:ind w:left="648" w:right="60" w:hanging="324"/>
        <w:spacing w:after="0" w:line="266" w:lineRule="auto"/>
        <w:tabs>
          <w:tab w:leader="none" w:pos="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Rare Disease and Brands, which includes our Rare Disease and Brands portfolios of pharmaceutical products, royalties, and other revenues were $182.3 million during the three months ended September 30, 2026, an increase of $53.2 million, compared to $129.1 million for the same period in 2025.</w:t>
      </w:r>
    </w:p>
    <w:p>
      <w:pPr>
        <w:spacing w:after="0" w:line="135" w:lineRule="exact"/>
        <w:rPr>
          <w:rFonts w:ascii="Times New Roman" w:cs="Times New Roman" w:eastAsia="Times New Roman" w:hAnsi="Times New Roman"/>
          <w:sz w:val="18"/>
          <w:szCs w:val="18"/>
          <w:color w:val="auto"/>
        </w:rPr>
      </w:pPr>
    </w:p>
    <w:p>
      <w:pPr>
        <w:ind w:left="1288" w:right="140" w:hanging="316"/>
        <w:spacing w:after="0" w:line="256" w:lineRule="auto"/>
        <w:tabs>
          <w:tab w:leader="none" w:pos="128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for Rare Disease pharmaceutical products were $160.9 million during the three months ended September 30, 2026, an increase of $42.5 million from $118.5 million for the same period in 2025. This increase was driven by increased volume of Cortrophin Gel from overall ACTH market growth and market share gains, driven by both the contribution from the expansion to capture the opportunity in acute gouty arthritis flares and the existing specialty areas of Nephrology, Neurology, Rheumatology, Ophthalmology, and Pulmonology. ILUVIEN net revenues were $22.3 million during the three months ended September 30, 2026, an increase of $5.7 million compared to $16.6 million in the prior year period.</w:t>
      </w:r>
    </w:p>
    <w:p>
      <w:pPr>
        <w:spacing w:after="0" w:line="160" w:lineRule="exact"/>
        <w:rPr>
          <w:rFonts w:ascii="Times New Roman" w:cs="Times New Roman" w:eastAsia="Times New Roman" w:hAnsi="Times New Roman"/>
          <w:sz w:val="18"/>
          <w:szCs w:val="18"/>
          <w:color w:val="auto"/>
        </w:rPr>
      </w:pPr>
    </w:p>
    <w:p>
      <w:pPr>
        <w:ind w:left="1288" w:hanging="316"/>
        <w:spacing w:after="0" w:line="266" w:lineRule="auto"/>
        <w:tabs>
          <w:tab w:leader="none" w:pos="128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for Brands portfolio of pharmaceutical products were $10.0 million during the three months ended September 30, 2026, a decrease of $0.7 million compared to $10.7 million for the same period in 2025, driven by a net decrease in demand for certain products during the third quarter.</w:t>
      </w:r>
    </w:p>
    <w:p>
      <w:pPr>
        <w:spacing w:after="0" w:line="135" w:lineRule="exact"/>
        <w:rPr>
          <w:rFonts w:ascii="Times New Roman" w:cs="Times New Roman" w:eastAsia="Times New Roman" w:hAnsi="Times New Roman"/>
          <w:sz w:val="18"/>
          <w:szCs w:val="18"/>
          <w:color w:val="auto"/>
        </w:rPr>
      </w:pPr>
    </w:p>
    <w:p>
      <w:pPr>
        <w:ind w:left="1288" w:right="140" w:hanging="316"/>
        <w:spacing w:after="0" w:line="266" w:lineRule="auto"/>
        <w:tabs>
          <w:tab w:leader="none" w:pos="128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for Brand royalties and other revenues during the three months ended September 30, 2026, includes royalties of approximately $9.5 million and $2.0 million of revenue associated with achievement of development milestones satisfied over time related to the Harmony Agreement.</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769" w:right="339" w:bottom="1440" w:gutter="0" w:footer="0" w:header="0"/>
        </w:sectPr>
      </w:pPr>
    </w:p>
    <w:bookmarkStart w:id="41" w:name="page42"/>
    <w:bookmarkEnd w:id="41"/>
    <w:p>
      <w:pPr>
        <w:ind w:left="640" w:right="500" w:hanging="324"/>
        <w:spacing w:after="0" w:line="250"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Generics and Other, which includes our generic pharmaceutical products, sales of contract manufactured products, royalties on contract manufactured products, and other pharmaceutical services, were $108.4 million during the three months ended September 30, 2026, an increase of 9.9% compared to $98.7 million for the same period in 2025, primarily as a result of the following:</w:t>
      </w:r>
    </w:p>
    <w:p>
      <w:pPr>
        <w:spacing w:after="0" w:line="149" w:lineRule="exact"/>
        <w:rPr>
          <w:rFonts w:ascii="Times New Roman" w:cs="Times New Roman" w:eastAsia="Times New Roman" w:hAnsi="Times New Roman"/>
          <w:sz w:val="18"/>
          <w:szCs w:val="18"/>
          <w:color w:val="auto"/>
        </w:rPr>
      </w:pPr>
    </w:p>
    <w:p>
      <w:pPr>
        <w:ind w:left="1280" w:right="60" w:hanging="316"/>
        <w:spacing w:after="0" w:line="261" w:lineRule="auto"/>
        <w:tabs>
          <w:tab w:leader="none" w:pos="12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Generic pharmaceutical products net revenues were $104.5 million during the three months ended September 30, 2026, an increase of $10.1 million over the prior year. This increase was driven by increased volumes from the new product launches during 2026 and 2025 and revenue from existing products in the portfolio. From a product perspective, the increase was principally driven by year over year revenue increases in products such as Carbamazepine and Clomiphene, among others.</w:t>
      </w:r>
    </w:p>
    <w:p>
      <w:pPr>
        <w:spacing w:after="0" w:line="152" w:lineRule="exact"/>
        <w:rPr>
          <w:rFonts w:ascii="Times New Roman" w:cs="Times New Roman" w:eastAsia="Times New Roman" w:hAnsi="Times New Roman"/>
          <w:sz w:val="18"/>
          <w:szCs w:val="18"/>
          <w:color w:val="auto"/>
        </w:rPr>
      </w:pPr>
    </w:p>
    <w:p>
      <w:pPr>
        <w:ind w:left="1280" w:right="160" w:hanging="316"/>
        <w:spacing w:after="0" w:line="282" w:lineRule="auto"/>
        <w:tabs>
          <w:tab w:leader="none" w:pos="12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generic net revenues were down modestly for the three months ended September 30, 2026, compared to the same time in the prior year due to fewer contract manufacturing shipments during the current period.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Sales (Excluding Depreciation and Amortization)</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4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bl>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 of sales consists of direct labor, including manufacturing and packaging, active and inactive pharmaceutical ingredients, freight costs, packaging components, royalties payable, and profit-sharing arrangements. Cost of sales does not include depreciation and amortization expense, which is reported as a separate component of operating expenses on our unaudited condensed consolidated statements of operations.</w:t>
      </w:r>
    </w:p>
    <w:p>
      <w:pPr>
        <w:spacing w:after="0" w:line="14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cost of sales increased to $111.5 million from $93.4 million for the same period in 2025, an increase of $18.1 million, or 19.4%. The increase is primarily due to significant net growth in sales volumes of pharmaceutical products and significant growth of royalty bearing products, including Cortrophin Gel, and other products in our portfolio.</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 of sales, as a percentage of net revenues, decreased to 38.4% from 41.0% for the three months ended September 30, 2026, compared to the same period in 2025, primarily due to a favorable shift in product mix year over year in conjunction with revenue recognized under the Harmony Agreement, tempered by an increase in sales of products that bear a royalty payable.</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approximately 22% of our raw inventory purchases were from one domestic supplier. During the three months ended September 30, 2025, approximately 21% of our raw inventory purchases were from one domestic supplier.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 net</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5"/>
        </w:trPr>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7"/>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3"/>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43"/>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96.3 %</w:t>
            </w:r>
          </w:p>
        </w:tc>
      </w:tr>
      <w:tr>
        <w:trPr>
          <w:trHeight w:val="243"/>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18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62"/>
        </w:trPr>
        <w:tc>
          <w:tcPr>
            <w:tcW w:w="42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operating expenses,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total other operating expenses, net increased to $126.9 million from $98.2 million for the same period in 2025, an increase of $28.7 million, or 29.2%, primarily as a result of the following factors:</w:t>
      </w:r>
    </w:p>
    <w:p>
      <w:pPr>
        <w:spacing w:after="0" w:line="108" w:lineRule="exact"/>
        <w:rPr>
          <w:sz w:val="20"/>
          <w:szCs w:val="20"/>
          <w:color w:val="auto"/>
        </w:rPr>
      </w:pPr>
    </w:p>
    <w:p>
      <w:pPr>
        <w:ind w:left="640" w:right="40" w:hanging="324"/>
        <w:spacing w:after="0" w:line="250"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during the three months ended September 30, 2026 increased from $12.3 million to $13.0 million, an increase of approximately $0.7 million, primarily due to timing of activity associated with ongoing and new projects to support future growth of Rare Disease and Generics.</w:t>
      </w:r>
    </w:p>
    <w:p>
      <w:pPr>
        <w:spacing w:after="0" w:line="200" w:lineRule="exact"/>
        <w:rPr>
          <w:sz w:val="20"/>
          <w:szCs w:val="20"/>
          <w:color w:val="auto"/>
        </w:rPr>
      </w:pP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60" w:top="931" w:right="379" w:bottom="1440" w:gutter="0" w:footer="0" w:header="0"/>
        </w:sectPr>
      </w:pPr>
    </w:p>
    <w:bookmarkStart w:id="42" w:name="page43"/>
    <w:bookmarkEnd w:id="42"/>
    <w:p>
      <w:pPr>
        <w:ind w:left="640" w:hanging="324"/>
        <w:spacing w:after="0" w:line="24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increased from $76.7 million to $94.9 million, an increase of approximately $18.2 million, primarily resulting from increased investment in Rare Disease sales and marketing infrastructure, related to our expansion of the Rare Disease team which is targeting opportunities in acute gouty arthritis, and an overall increase in activities to support the growth of our business, tempered by lower legal costs, compared to the same period in 2025.</w:t>
      </w:r>
    </w:p>
    <w:p>
      <w:pPr>
        <w:spacing w:after="0" w:line="140" w:lineRule="exact"/>
        <w:rPr>
          <w:rFonts w:ascii="Times New Roman" w:cs="Times New Roman" w:eastAsia="Times New Roman" w:hAnsi="Times New Roman"/>
          <w:sz w:val="18"/>
          <w:szCs w:val="18"/>
          <w:color w:val="auto"/>
        </w:rPr>
      </w:pPr>
    </w:p>
    <w:p>
      <w:pPr>
        <w:ind w:left="640" w:right="120" w:hanging="324"/>
        <w:spacing w:after="0" w:line="250"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was $19.6 million for the three months ended September 30, 2026, compared to $22.6 million for the same period in 2025, a decrease of approximately $3.1 million, primarily related to certain definite-lived intangibles that have been fully amortized during 2025.</w:t>
      </w:r>
    </w:p>
    <w:p>
      <w:pPr>
        <w:spacing w:after="0" w:line="149" w:lineRule="exact"/>
        <w:rPr>
          <w:rFonts w:ascii="Times New Roman" w:cs="Times New Roman" w:eastAsia="Times New Roman" w:hAnsi="Times New Roman"/>
          <w:sz w:val="18"/>
          <w:szCs w:val="18"/>
          <w:color w:val="auto"/>
        </w:rPr>
      </w:pPr>
    </w:p>
    <w:p>
      <w:pPr>
        <w:ind w:left="640" w:right="140" w:hanging="324"/>
        <w:spacing w:after="0" w:line="26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a net gain of approximately $0.5 million for the three months ended September 30, 2026 related to changes in our contingent consideration liabilities, which are measured at fair value. The net gain resulted from the adjustment of future forecasted cash flows and includes primarily: (1) a $0.3 million reduction related to the Alimera contingent value rights; and (2) a $0.2 million decrease in contingent consideration related to the Novitium acquisition.</w:t>
      </w:r>
    </w:p>
    <w:p>
      <w:pPr>
        <w:spacing w:after="0" w:line="152" w:lineRule="exact"/>
        <w:rPr>
          <w:rFonts w:ascii="Times New Roman" w:cs="Times New Roman" w:eastAsia="Times New Roman" w:hAnsi="Times New Roman"/>
          <w:sz w:val="18"/>
          <w:szCs w:val="18"/>
          <w:color w:val="auto"/>
        </w:rPr>
      </w:pPr>
    </w:p>
    <w:p>
      <w:pPr>
        <w:ind w:left="640" w:right="240" w:hanging="324"/>
        <w:spacing w:after="0" w:line="26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losses related to the disposal of certain manufacturing equipment and an impairment charge related to one definite-lived intangible asset totaling approximately $1.1 million during the three months ended September 30, 2025. There were no similar items in the three months ended September 30,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5"/>
        </w:trPr>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7"/>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gain on investment in equity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4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4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r>
      <w:tr>
        <w:trPr>
          <w:trHeight w:val="236"/>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1"/>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we recognized total other expense, net of $3.3 million as compared to total other expense, net of $2.4 million for the same period in 2025.</w:t>
      </w:r>
    </w:p>
    <w:p>
      <w:pPr>
        <w:spacing w:after="0" w:line="135" w:lineRule="exact"/>
        <w:rPr>
          <w:sz w:val="20"/>
          <w:szCs w:val="20"/>
          <w:color w:val="auto"/>
        </w:rPr>
      </w:pPr>
    </w:p>
    <w:p>
      <w:pPr>
        <w:ind w:left="640" w:right="60" w:hanging="324"/>
        <w:spacing w:after="0" w:line="266"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an unrealized loss on investment in equity securities of approximately $35.0 thousand for the three months ended September 30, 2026, compared to an unrealized gain of approximately $3.1 million in the same period in 2025, which is based on the mark to market fair value of equity securities held in CG Oncology as of the balance sheet date.</w:t>
      </w:r>
    </w:p>
    <w:p>
      <w:pPr>
        <w:spacing w:after="0" w:line="135" w:lineRule="exact"/>
        <w:rPr>
          <w:rFonts w:ascii="Times New Roman" w:cs="Times New Roman" w:eastAsia="Times New Roman" w:hAnsi="Times New Roman"/>
          <w:sz w:val="18"/>
          <w:szCs w:val="18"/>
          <w:color w:val="auto"/>
        </w:rPr>
      </w:pPr>
    </w:p>
    <w:p>
      <w:pPr>
        <w:ind w:left="640" w:right="100" w:hanging="324"/>
        <w:spacing w:after="0" w:line="274" w:lineRule="auto"/>
        <w:tabs>
          <w:tab w:leader="none" w:pos="6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net for the three months ended September 30, 2026 consists primarily of coupon interest expense on borrowings under our outstanding debt and amortization of deferred financing costs on these debt instruments, interest income earned on our bank balances, and interest earned on our interest rate swap. Interest income earned on our bank balances increased approximately $1.0 million, interest expense related to our outstanding debt decreased approximately $0.7 million, and capitalized interest related to construction in progress increased approximately $0.2 million resulting in a decrease in interest expense, net, of approximately $2.0 million. This impact was partially offset by a decrease of interest earned on our interest rate swap of approximately $0.2 million, compared to the same period in the prior year.</w:t>
      </w:r>
    </w:p>
    <w:p>
      <w:pPr>
        <w:spacing w:after="0" w:line="132" w:lineRule="exact"/>
        <w:rPr>
          <w:rFonts w:ascii="Times New Roman" w:cs="Times New Roman" w:eastAsia="Times New Roman" w:hAnsi="Times New Roman"/>
          <w:sz w:val="17"/>
          <w:szCs w:val="17"/>
          <w:color w:val="auto"/>
        </w:rPr>
      </w:pPr>
    </w:p>
    <w:p>
      <w:pPr>
        <w:ind w:left="640" w:right="340" w:hanging="324"/>
        <w:spacing w:after="0" w:line="282"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net, for the three months ended September 30, 2026 and 2025 consists primarily of unrealized foreign exchange gains and losses related to our Alimera UK subsidiary.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4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1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6"/>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93.4 %</w:t>
            </w:r>
          </w:p>
        </w:tc>
      </w:tr>
    </w:tbl>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Income tax expense consists of current and deferred components, which include changes in our deferred tax assets, our deferred tax liabilities, and our valuation allowance. See Note 11 “Income Taxes” in the notes to the unaudited condensed consolidated financial statements in Part I, Item 1 of this Quarterly Report on Form 10-Q for further information.</w:t>
      </w:r>
    </w:p>
    <w:p>
      <w:pPr>
        <w:spacing w:after="0" w:line="39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931" w:right="359" w:bottom="1440" w:gutter="0" w:footer="0" w:header="0"/>
        </w:sectPr>
      </w:pPr>
    </w:p>
    <w:bookmarkStart w:id="43" w:name="page44"/>
    <w:bookmarkEnd w:id="43"/>
    <w:p>
      <w:pPr>
        <w:ind w:left="8"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our income tax expense was approximately $13.9 million. Our effective tax rate of 28.3% of pre-tax income for the current period was determined based on our pre-tax income, statutory tax rates and the tax impacts of certain discrete items for the three months ended September 30, 2026, which impact our income tax expense in the period in which they occur. The effective tax rate differed from the federal statutory rate of 21% primarily due to state taxes and disallowed officers’ compensation.</w:t>
      </w:r>
    </w:p>
    <w:p>
      <w:pPr>
        <w:spacing w:after="0" w:line="153" w:lineRule="exact"/>
        <w:rPr>
          <w:sz w:val="20"/>
          <w:szCs w:val="20"/>
          <w:color w:val="auto"/>
        </w:rPr>
      </w:pPr>
    </w:p>
    <w:p>
      <w:pPr>
        <w:ind w:left="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our income tax expense was approximately $7.2 million. Our effective tax rate of 21.3% of pre-tax income for the period was determined based on our pre-tax income, statutory tax rates and the tax impacts of certain discrete items for the three months ended September 30, 2025, which impact our income tax expense in the period in which they occur. The effective tax rate differed from the federal statutory rate of 21% primarily due to excess tax benefits recognized upon settlement of stock-based compensation and non-taxable adjustments to the fair value of certain contingent liabilities related to the acquisition of Alimera.</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NINE MONTHS ENDED SEPTEMBER 30, 2026 AND 2025</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23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and Brands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Cortrophin Gel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330,900</w:t>
            </w: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236,347</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94,553</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ILUVIEN and YUTIQ</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55,025</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8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total net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391,127</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291,372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99,755</w:t>
            </w:r>
          </w:p>
        </w:tc>
        <w:tc>
          <w:tcPr>
            <w:tcW w:w="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23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Brands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43"/>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Brand royalties and other revenues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37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and Brands total net revenues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475,977</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340,365</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135,612</w:t>
            </w:r>
          </w:p>
        </w:tc>
        <w:tc>
          <w:tcPr>
            <w:tcW w:w="8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0" w:type="dxa"/>
            <w:vAlign w:val="bottom"/>
          </w:tcPr>
          <w:p>
            <w:pPr>
              <w:spacing w:after="0"/>
              <w:rPr>
                <w:sz w:val="1"/>
                <w:szCs w:val="1"/>
                <w:color w:val="auto"/>
              </w:rPr>
            </w:pPr>
          </w:p>
        </w:tc>
      </w:tr>
      <w:tr>
        <w:trPr>
          <w:trHeight w:val="223"/>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Generics and Other</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Generic pharmaceutical products</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308,908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283,350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25,558</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43"/>
        </w:trPr>
        <w:tc>
          <w:tcPr>
            <w:tcW w:w="3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generic revenues</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8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Generics and Other total net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318,306</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295,941</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w:t>
            </w:r>
          </w:p>
        </w:tc>
        <w:tc>
          <w:tcPr>
            <w:tcW w:w="80" w:type="dxa"/>
            <w:vAlign w:val="bottom"/>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7"/>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794,283</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636,306</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157,977</w:t>
            </w:r>
          </w:p>
        </w:tc>
        <w:tc>
          <w:tcPr>
            <w:tcW w:w="8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3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8" w:right="360" w:hanging="328"/>
        <w:spacing w:after="0" w:line="212" w:lineRule="auto"/>
        <w:tabs>
          <w:tab w:leader="none" w:pos="316"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sales of YUTIQ during the nine months ended September 30, 2026, as the Company transitioned U.S. promotional efforts from YUTIQ to ILUVIEN, which has a combined label of DME and NIU-PS as of the second quarter of 2025.</w:t>
      </w:r>
    </w:p>
    <w:p>
      <w:pPr>
        <w:spacing w:after="0" w:line="158" w:lineRule="exact"/>
        <w:rPr>
          <w:sz w:val="20"/>
          <w:szCs w:val="20"/>
          <w:color w:val="auto"/>
        </w:rPr>
      </w:pPr>
    </w:p>
    <w:p>
      <w:pPr>
        <w:ind w:left="8" w:right="80"/>
        <w:spacing w:after="0" w:line="282" w:lineRule="auto"/>
        <w:rPr>
          <w:sz w:val="20"/>
          <w:szCs w:val="20"/>
          <w:color w:val="auto"/>
        </w:rPr>
      </w:pPr>
      <w:r>
        <w:rPr>
          <w:rFonts w:ascii="Times New Roman" w:cs="Times New Roman" w:eastAsia="Times New Roman" w:hAnsi="Times New Roman"/>
          <w:sz w:val="18"/>
          <w:szCs w:val="18"/>
          <w:color w:val="auto"/>
        </w:rPr>
        <w:t>Net revenues for the nine months ended September 30, 2026 were $794.3 million compared to $636.3 million for the same period in 2025, an increase of 24.8%, primarily as a result of the following:</w:t>
      </w:r>
    </w:p>
    <w:p>
      <w:pPr>
        <w:spacing w:after="0" w:line="162" w:lineRule="exact"/>
        <w:rPr>
          <w:sz w:val="20"/>
          <w:szCs w:val="20"/>
          <w:color w:val="auto"/>
        </w:rPr>
      </w:pPr>
    </w:p>
    <w:p>
      <w:pPr>
        <w:ind w:left="648" w:right="20" w:hanging="324"/>
        <w:spacing w:after="0" w:line="266"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Rare Disease and Brands, which includes our Rare Disease and Brands portfolios of pharmaceutical products, royalties, and other revenues were $476.0 million during the nine months ended September 30, 2026, an increase of $135.6 million, compared to $340.4 million for the same period in 2025.</w:t>
      </w:r>
    </w:p>
    <w:p>
      <w:pPr>
        <w:spacing w:after="0" w:line="148" w:lineRule="exact"/>
        <w:rPr>
          <w:rFonts w:ascii="Times New Roman" w:cs="Times New Roman" w:eastAsia="Times New Roman" w:hAnsi="Times New Roman"/>
          <w:sz w:val="18"/>
          <w:szCs w:val="18"/>
          <w:color w:val="auto"/>
        </w:rPr>
      </w:pPr>
    </w:p>
    <w:p>
      <w:pPr>
        <w:ind w:left="1288" w:right="180" w:hanging="316"/>
        <w:spacing w:after="0" w:line="256" w:lineRule="auto"/>
        <w:tabs>
          <w:tab w:leader="none" w:pos="128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for Rare Disease pharmaceutical products were $391.1 million during the nine months ended September 30, 2026, an increase of $99.8 million from $291.4 million for the same period in 2025. This increase was driven by increased volume of Cortrophin Gel from overall ACTH market growth and market share gains, driven by both the contribution from the expansion to capture the opportunity in acute gouty arthritis flares and the existing specialty areas of Nephrology, Neurology, Rheumatology, Ophthalmology, and Pulmonology. Net revenues for ILUVIEN were $60.2 million during the nine months ended September 30, 2026, an increase of $5.2 million from $55.0 million compared to the prior year period.</w:t>
      </w:r>
    </w:p>
    <w:p>
      <w:pPr>
        <w:spacing w:after="0" w:line="146" w:lineRule="exact"/>
        <w:rPr>
          <w:rFonts w:ascii="Times New Roman" w:cs="Times New Roman" w:eastAsia="Times New Roman" w:hAnsi="Times New Roman"/>
          <w:sz w:val="18"/>
          <w:szCs w:val="18"/>
          <w:color w:val="auto"/>
        </w:rPr>
      </w:pPr>
    </w:p>
    <w:p>
      <w:pPr>
        <w:ind w:left="1288" w:right="60" w:hanging="316"/>
        <w:spacing w:after="0" w:line="266" w:lineRule="auto"/>
        <w:tabs>
          <w:tab w:leader="none" w:pos="128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for Brands portfolio of pharmaceutical products were $34.1 million during the nine months ended September 30, 2026, a decrease of $14.9 million compared to $49.0 million for the same period in 2025, driven by a net decrease in demand for certain products, compared to the same time in the prior year.</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45" w:right="339" w:bottom="1440" w:gutter="0" w:footer="0" w:header="0"/>
        </w:sectPr>
      </w:pPr>
    </w:p>
    <w:bookmarkStart w:id="44" w:name="page45"/>
    <w:bookmarkEnd w:id="44"/>
    <w:p>
      <w:pPr>
        <w:ind w:left="1280" w:right="140" w:hanging="316"/>
        <w:spacing w:after="0" w:line="266" w:lineRule="auto"/>
        <w:tabs>
          <w:tab w:leader="none" w:pos="12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for Brand royalties and other revenues during the nine months ended September 30, 2026, includes a $15.0 million upfront payment, associated royalties of approximately $25.7 million, and $10.0 million of revenue associated with achievement of development milestones satisfied over time, related to the Harmony Agreement.</w:t>
      </w:r>
    </w:p>
    <w:p>
      <w:pPr>
        <w:spacing w:after="0" w:line="175" w:lineRule="exact"/>
        <w:rPr>
          <w:rFonts w:ascii="Times New Roman" w:cs="Times New Roman" w:eastAsia="Times New Roman" w:hAnsi="Times New Roman"/>
          <w:sz w:val="18"/>
          <w:szCs w:val="18"/>
          <w:color w:val="auto"/>
        </w:rPr>
      </w:pPr>
    </w:p>
    <w:p>
      <w:pPr>
        <w:ind w:left="640" w:right="620" w:hanging="324"/>
        <w:spacing w:after="0" w:line="261"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Generics and Other, which includes our generic pharmaceutical products, sales of contract manufactured products, royalties on contract manufactured products, and other pharmaceutical services, were $318.3 million during the nine months ended September 30, 2026, an increase of $22.4 million compared to $295.9 million for the same period in 2025, primarily as a result of the following:</w:t>
      </w:r>
    </w:p>
    <w:p>
      <w:pPr>
        <w:spacing w:after="0" w:line="152" w:lineRule="exact"/>
        <w:rPr>
          <w:rFonts w:ascii="Times New Roman" w:cs="Times New Roman" w:eastAsia="Times New Roman" w:hAnsi="Times New Roman"/>
          <w:sz w:val="18"/>
          <w:szCs w:val="18"/>
          <w:color w:val="auto"/>
        </w:rPr>
      </w:pPr>
    </w:p>
    <w:p>
      <w:pPr>
        <w:ind w:left="1280" w:hanging="316"/>
        <w:spacing w:after="0" w:line="261" w:lineRule="auto"/>
        <w:tabs>
          <w:tab w:leader="none" w:pos="12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Generic pharmaceutical products net revenues were $308.9 million during the nine months ended September 30, 2026, an increase of $25.6 million over the prior year. This increase was driven by increased volumes from new product launches during 2026 and 2025 and revenue from existing products in the portfolio. From a product perspective, the increase was principally driven by year over year revenue increases in products such as Vancomycin, among others.</w:t>
      </w:r>
    </w:p>
    <w:p>
      <w:pPr>
        <w:spacing w:after="0" w:line="139" w:lineRule="exact"/>
        <w:rPr>
          <w:rFonts w:ascii="Times New Roman" w:cs="Times New Roman" w:eastAsia="Times New Roman" w:hAnsi="Times New Roman"/>
          <w:sz w:val="18"/>
          <w:szCs w:val="18"/>
          <w:color w:val="auto"/>
        </w:rPr>
      </w:pPr>
    </w:p>
    <w:p>
      <w:pPr>
        <w:ind w:left="1280" w:right="180" w:hanging="316"/>
        <w:spacing w:after="0" w:line="282" w:lineRule="auto"/>
        <w:tabs>
          <w:tab w:leader="none" w:pos="12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generic net revenues were down for the nine months ended September 30, 2026, compared to the same time in the prior year due to fewer contract manufacturing shipments during the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(Excluding Depreciation and Amortization)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83"/>
        </w:trPr>
        <w:tc>
          <w:tcPr>
            <w:tcW w:w="4160" w:type="dxa"/>
            <w:vAlign w:val="bottom"/>
            <w:gridSpan w:val="2"/>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3"/>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305,271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64,230</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r>
    </w:tbl>
    <w:p>
      <w:pPr>
        <w:spacing w:after="0" w:line="25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cost of sales increased to $305.3 million from $241.0 million for the same period in 2025, an increase of $64.2 million, or 26.6%. The increase is primarily due to significant net growth in sales volumes of pharmaceutical products and significant growth of royalty bearing products, including Cortrophin Gel, and other products in our portfolio.</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Cost of sales, as a percentage of net revenues, increased to 38.4% from 37.9% for the nine months ended September 30, 2026, compared to the same period in 2025, primarily due to a shift in product mix year over year, an increase in sales of products that bear a royalty payable, and the non-recurrence of prior year sales from Prucalopride. These effects were somewhat tempered by the revenue recognized under the Harmony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approximately 26% of our raw material inventory purchases were from one domestic supplier.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approximately 22% of our raw material inventory purchases were from one domestic supplier.</w:t>
      </w:r>
    </w:p>
    <w:p>
      <w:pPr>
        <w:spacing w:after="0" w:line="200" w:lineRule="exact"/>
        <w:rPr>
          <w:sz w:val="20"/>
          <w:szCs w:val="20"/>
          <w:color w:val="auto"/>
        </w:rPr>
      </w:pPr>
    </w:p>
    <w:p>
      <w:pPr>
        <w:spacing w:after="0" w:line="23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945"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 net</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3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6"/>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3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260,178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43"/>
        </w:trPr>
        <w:tc>
          <w:tcPr>
            <w:tcW w:w="3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23,943</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94.7 %</w:t>
            </w:r>
          </w:p>
        </w:tc>
      </w:tr>
      <w:tr>
        <w:trPr>
          <w:trHeight w:val="243"/>
        </w:trPr>
        <w:tc>
          <w:tcPr>
            <w:tcW w:w="3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24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62"/>
        </w:trPr>
        <w:tc>
          <w:tcPr>
            <w:tcW w:w="39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operating expenses,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357,291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318,939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total other operating expenses, net increased to $357.3 million from $318.9 million for the same period in 2025, an increase of $38.4 million, or 12.0%, primarily as a result of the following factors:</w:t>
      </w:r>
    </w:p>
    <w:p>
      <w:pPr>
        <w:spacing w:after="0" w:line="108" w:lineRule="exact"/>
        <w:rPr>
          <w:sz w:val="20"/>
          <w:szCs w:val="20"/>
          <w:color w:val="auto"/>
        </w:rPr>
      </w:pPr>
    </w:p>
    <w:p>
      <w:pPr>
        <w:ind w:left="640" w:hanging="324"/>
        <w:spacing w:after="0" w:line="250"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during the nine months ended September 30, 2026 decreased from $39.4 million to $38.3 million, a decrease of approximately $1.1 million, primarily due to timing of activity associated with ongoing and new projects to support future growth of Rare Disease and Generics.</w:t>
      </w:r>
    </w:p>
    <w:p>
      <w:pPr>
        <w:spacing w:after="0" w:line="136" w:lineRule="exact"/>
        <w:rPr>
          <w:rFonts w:ascii="Times New Roman" w:cs="Times New Roman" w:eastAsia="Times New Roman" w:hAnsi="Times New Roman"/>
          <w:sz w:val="18"/>
          <w:szCs w:val="18"/>
          <w:color w:val="auto"/>
        </w:rPr>
      </w:pPr>
    </w:p>
    <w:p>
      <w:pPr>
        <w:ind w:left="640" w:right="120" w:hanging="324"/>
        <w:spacing w:after="0" w:line="242"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increased from $235.0 million to $260.2 million, an increase of approximately $25.2 million, and includes increased investment in Rare Disease sales and marketing infrastructure, related to our expansion of the Rare Disease team which is targeting opportunities in acute gouty arthritis, and an overall increase in activities to support the growth of our business, compared to the same period in 2025, offset by a litigation settlement received of $9.0 million, and a decrease of approximately $2.9 million in transaction and integration costs related to the Alimera acquisition.</w:t>
      </w:r>
    </w:p>
    <w:p>
      <w:pPr>
        <w:spacing w:after="0" w:line="144" w:lineRule="exact"/>
        <w:rPr>
          <w:rFonts w:ascii="Times New Roman" w:cs="Times New Roman" w:eastAsia="Times New Roman" w:hAnsi="Times New Roman"/>
          <w:sz w:val="18"/>
          <w:szCs w:val="18"/>
          <w:color w:val="auto"/>
        </w:rPr>
      </w:pPr>
    </w:p>
    <w:p>
      <w:pPr>
        <w:ind w:left="640" w:right="140" w:hanging="324"/>
        <w:spacing w:after="0" w:line="250"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was $60.1 million for the nine months ended September 30, 2026, compared to $68.8 million for the same period in 2025, a decrease of approximately $8.7 million, primarily related to certain definite-lived intangibles that have been fully amortized during 2025.</w:t>
      </w:r>
    </w:p>
    <w:p>
      <w:pPr>
        <w:spacing w:after="0" w:line="149" w:lineRule="exact"/>
        <w:rPr>
          <w:rFonts w:ascii="Times New Roman" w:cs="Times New Roman" w:eastAsia="Times New Roman" w:hAnsi="Times New Roman"/>
          <w:sz w:val="18"/>
          <w:szCs w:val="18"/>
          <w:color w:val="auto"/>
        </w:rPr>
      </w:pPr>
    </w:p>
    <w:p>
      <w:pPr>
        <w:ind w:left="640" w:right="140" w:hanging="324"/>
        <w:spacing w:after="0" w:line="261"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a net gain of approximately $1.3 million for the nine months ended September 30, 2026 related to changes in our contingent consideration liabilities, which are measured at fair value. The net gain resulted from the adjustment of future forecasted cash flows and includes primarily: (1) a $1.2 million reduction related to the Alimera contingent value rights; and (2) a $0.1 million reduction in contingent consideration related to the Novitium acquisition.</w:t>
      </w:r>
    </w:p>
    <w:p>
      <w:pPr>
        <w:spacing w:after="0" w:line="139" w:lineRule="exact"/>
        <w:rPr>
          <w:rFonts w:ascii="Times New Roman" w:cs="Times New Roman" w:eastAsia="Times New Roman" w:hAnsi="Times New Roman"/>
          <w:sz w:val="18"/>
          <w:szCs w:val="18"/>
          <w:color w:val="auto"/>
        </w:rPr>
      </w:pPr>
    </w:p>
    <w:p>
      <w:pPr>
        <w:ind w:left="640" w:right="200" w:hanging="324"/>
        <w:spacing w:after="0" w:line="266"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losses related to the disposal of certain manufacturing equipment and an impairment charge related to one definite-lived intangible asset totaling approximately $1.1 million during the nine months ended September 30, 2025. There were no similar items during the nine months ended September 30, 2026.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45"/>
        </w:trPr>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 in equity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3,908</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153.2 %</w:t>
            </w:r>
          </w:p>
        </w:tc>
      </w:tr>
      <w:tr>
        <w:trPr>
          <w:trHeight w:val="243"/>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5,188</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4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(2,444)</w:t>
            </w:r>
          </w:p>
        </w:tc>
        <w:tc>
          <w:tcPr>
            <w:tcW w:w="8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37"/>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6,652</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55.4 %</w:t>
            </w:r>
          </w:p>
        </w:tc>
      </w:tr>
      <w:tr>
        <w:trPr>
          <w:trHeight w:val="20"/>
        </w:trPr>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we recognized total other expense, net of $5.4 million as compared to total other expense, net of $12.0 million for the same period in 2025.</w:t>
      </w:r>
    </w:p>
    <w:p>
      <w:pPr>
        <w:spacing w:after="0" w:line="121" w:lineRule="exact"/>
        <w:rPr>
          <w:sz w:val="20"/>
          <w:szCs w:val="20"/>
          <w:color w:val="auto"/>
        </w:rPr>
      </w:pPr>
    </w:p>
    <w:p>
      <w:pPr>
        <w:jc w:val="both"/>
        <w:ind w:left="640" w:right="280" w:hanging="324"/>
        <w:spacing w:after="0" w:line="266"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an unrealized gain on investment in equity securities of approximately $6.5 million for the nine months ended September 30, 2026, compared to an unrealized gain of approximately $2.6 million in the same period in 2025, which is based on the mark to market fair value of equity securities held in CG Oncology as of the balance sheet date.</w:t>
      </w:r>
    </w:p>
    <w:p>
      <w:pPr>
        <w:spacing w:after="0" w:line="200" w:lineRule="exact"/>
        <w:rPr>
          <w:sz w:val="20"/>
          <w:szCs w:val="20"/>
          <w:color w:val="auto"/>
        </w:rPr>
      </w:pPr>
    </w:p>
    <w:p>
      <w:pPr>
        <w:spacing w:after="0" w:line="20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60" w:top="941" w:right="379" w:bottom="1440" w:gutter="0" w:footer="0" w:header="0"/>
        </w:sectPr>
      </w:pPr>
    </w:p>
    <w:bookmarkStart w:id="46" w:name="page47"/>
    <w:bookmarkEnd w:id="46"/>
    <w:p>
      <w:pPr>
        <w:ind w:left="640" w:right="120" w:hanging="324"/>
        <w:spacing w:after="0" w:line="274" w:lineRule="auto"/>
        <w:tabs>
          <w:tab w:leader="none" w:pos="6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net for the nine months ended September 30, 2026 consists primarily of coupon interest expense on borrowings under our outstanding debt and amortization of deferred financing costs on these debt instruments, interest income earned on our bank balances, and interest earned on our interest rate swap. Interest income earned on our bank balances increased approximately $3.5 million, interest expense related to our outstanding debt decreased approximately $2.1 million, and capitalized interest related to construction in progress increased approximately $0.4 million resulting in a decrease in interest expense, net, of approximately $6.0 million. This impact was partially offset by a decrease of interest earned on our interest rate swap of approximately $0.7 million, compared to the same period in the prior year.</w:t>
      </w:r>
    </w:p>
    <w:p>
      <w:pPr>
        <w:spacing w:after="0" w:line="145" w:lineRule="exact"/>
        <w:rPr>
          <w:rFonts w:ascii="Times New Roman" w:cs="Times New Roman" w:eastAsia="Times New Roman" w:hAnsi="Times New Roman"/>
          <w:sz w:val="17"/>
          <w:szCs w:val="17"/>
          <w:color w:val="auto"/>
        </w:rPr>
      </w:pPr>
    </w:p>
    <w:p>
      <w:pPr>
        <w:ind w:left="640" w:right="20" w:hanging="324"/>
        <w:spacing w:after="0" w:line="282"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income, net, for the nine months ended September 30, 2026 and 2025 consists primarily of unrealized foreign exchange gains and losses related to our Alimera UK subsidiary.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5"/>
        </w:trPr>
        <w:tc>
          <w:tcPr>
            <w:tcW w:w="3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174.8 %</w:t>
            </w:r>
          </w:p>
        </w:tc>
      </w:tr>
    </w:tbl>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our income tax expense was approximately $37.0 million. Our effective tax rate of 29.3% of pre-tax income for the current period was determined based on our pre-tax income, statutory tax rates and the tax impacts of certain discrete items for the nine months ended September 30, 2026, which impact our income tax expense in the period in which they occur. The effective tax rate differed from the federal statutory rate of 21% primarily due to state taxes and disallowed officers’ compensation partially offset by excess tax benefits recognized upon settlement of stock-based compensation.</w:t>
      </w:r>
    </w:p>
    <w:p>
      <w:pPr>
        <w:spacing w:after="0" w:line="1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we recognized income tax expense of approximately $13.5 million, an effective tax rate of 20.9% of pre-tax income reported in the period, as well as the net effect of certain discrete items for the nine months ended September 30, 2025 which impact our income tax expense in the period in which they occur. The effective tax rate differed from the federal statutory rate of 21% primarily due to excess tax benefits recognized upon settlement of stock-based compensation, favorable return to provision adjustments attributable to certain foreign tax returns filed during the period, and non-taxable adjustments to the fair value of certain contingent liabilities related to the acquisition of Alimera.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primary source of liquidity is cash generated from operations, available cash on hand, and borrowings under the 2024 Credit Facility and the Notes as discussed and defined in Note 4 “2024 Credit Agreement” and Note 5 “2.25% Convertible Senior Notes” in the notes to the unaudited condensed consolidated financial statements in Part I, Item 1 of this Quarterly Report on Form 10-Q.</w:t>
      </w:r>
    </w:p>
    <w:p>
      <w:pPr>
        <w:spacing w:after="0" w:line="13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On August 13, 2024, we entered into a credit agreement (the “2024 Credit Agreement”) with JPMorgan Chase Bank, N.A., and other financial institutions, which provides for aggregate principal commitments consisting of (i) a senior secured delayed-draw term loan facility in an aggregate principal amount of $325.0 million (the “TLA”), and (ii) a senior secured revolving credit facility in an aggregate commitment amount of $75.0 million, which may be used for revolving credit loans, swingline loans and letters of credit (the “TLA Revolver” and together with the TLA, the “2024 Credit Facility”). As of September 30, 2026, the outstanding principal under our 2024 Credit Agreement was approximately $300.6 million, with $74.9 million remaining available for borrowing under the TLA Revolver. We also maintain an interest rate swap with a notional value of $139.4 million at an effective fixed rate of 2.313% to manage SOFR-based variable interest rate exposure on a portion of the borrowings under the 2024 Credit Agreement.</w:t>
      </w:r>
    </w:p>
    <w:p>
      <w:pPr>
        <w:spacing w:after="0" w:line="21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On August 13, 2024, the Company completed an offering of $316.3 million aggregate principal amount of the Company’s Convertible Senior Notes due 2029 (the “Notes”). The Notes are due September 1, 2029, unless earlier repurchased, redeemed, or converted. The Notes accrue interest at a rate of 2.25% per annum, payable semi-annually in arrears on March 1 and September 1 of each year, beginning on March 1, 2025.</w:t>
      </w:r>
    </w:p>
    <w:p>
      <w:pPr>
        <w:spacing w:after="0" w:line="150"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primary contractual obligations over the next twelve months consist of quarterly principal payments and monthly interest on the 2024 Credit Facility and semi-annual interest payments on the Notes, as discussed in Note 4 “2024 Credit Agreement” and Note 5 “2.25% Convertible Senior Notes” in the notes to the unaudited condensed consolidated financial statements in Part I, Item 1 of this Quarterly Report on Form 10-Q.</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2026, our Board of Directors approved a share repurchase program authorizing us to repurchase up to $100.0 million of our common stock (the “Share Repurchase Program”). During the three months ended September 30, 2026, we repurchased 102,492 shares of our common stock for an aggregate purchase price of approximately $7.5 million, including direct costs, and approximately $92.5 million remained available for repurchase under the Share Repurchase Program as of September 30, 2026. In addition, from October 1, 2026 through November 2, 2026, we repurchased 173,143 shares of our common stock for an aggregate</w:t>
      </w: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45" w:right="339" w:bottom="1440" w:gutter="0" w:footer="0" w:header="0"/>
        </w:sectPr>
      </w:pPr>
    </w:p>
    <w:bookmarkStart w:id="47" w:name="page48"/>
    <w:bookmarkEnd w:id="47"/>
    <w:p>
      <w:pPr>
        <w:ind w:right="100"/>
        <w:spacing w:after="0" w:line="261" w:lineRule="auto"/>
        <w:rPr>
          <w:sz w:val="20"/>
          <w:szCs w:val="20"/>
          <w:color w:val="auto"/>
        </w:rPr>
      </w:pPr>
      <w:r>
        <w:rPr>
          <w:rFonts w:ascii="Times New Roman" w:cs="Times New Roman" w:eastAsia="Times New Roman" w:hAnsi="Times New Roman"/>
          <w:sz w:val="18"/>
          <w:szCs w:val="18"/>
          <w:color w:val="auto"/>
        </w:rPr>
        <w:t>purchase price of approximately $12.5 million, including direct costs. The specific timing and amount of any future repurchases will depend on available capital resources, market conditions and other factors, and we are not obligated to repurchase any shares. See Note 9 “Stockholders’ Equity” in the notes to the unaudited condensed consolidated financial statements in Part I, Item 1 of this Quarterly Report on Form 10-Q for further information.</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we had $420.8 million and $285.6 million, respectively, in unrestricted cash and cash equivalents. The majority of our cash balances are held in interest bearing and non-interest bearing accounts in U.S.-based financial institutions that are guaranteed by the Federal Deposit Insurance Corporation (“FDIC”) up to $250 thousand. The majority of our cash balances are in excess of FDIC coverage, which we consider to be a normal business risk. In addition, we have cash and cash equivalents held in international bank accounts that are denominated in various foreign currencies, specifically in Canada, the United Kingdom, Germany, Ireland, Portugal, and India.</w:t>
      </w:r>
    </w:p>
    <w:p>
      <w:pPr>
        <w:spacing w:after="0" w:line="143"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We are focused on expanding our business and product pipeline through acquisitions of products and companies as well as internal research and development. We are continually evaluating potential asset acquisitions and business combinations. To finance such acquisitions, we might raise additional equity capital, incur additional debt, or both.</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believe that our financial resources, consisting of current working capital, anticipated future operating revenue and corresponding collections from customers, and available borrowings under the 2024 Credit Facility, will be sufficient to enable us to meet our working capital requirements and debt obligations for at least the next 12 months from the date of filing of this report, and for the foreseeable future thereafter. If our assumptions underlying estimated revenue and expenses are wrong, or if our cash requirements change materially as a result of shifts in our business or strategy, we could require additional financing. If we are not able to maintain profitability in future years or are not able to continue to generate cash from operations as anticipated and additional capital is needed to support operations, we may be unable to obtain such financing, or obtain it on favorable terms, in which case we may be required to curtail development of new products, limit expansion of operations, or accept financing terms that are not as attractive as desired.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cash and cash equivalents provided by operating activities, used in investing activities, and used in financing activities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198,830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154,858</w:t>
            </w:r>
          </w:p>
        </w:tc>
      </w:tr>
      <w:tr>
        <w:trPr>
          <w:trHeight w:val="24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(27,880)</w:t>
            </w: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(32,918)</w:t>
            </w:r>
          </w:p>
        </w:tc>
      </w:tr>
      <w:tr>
        <w:trPr>
          <w:trHeight w:val="24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(36,092)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Operations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$198.8 million for the nine months ended September 30, 2026, compared to net cash provided by operating activities of $154.9 million during the same period in 2025, an increase of $44.0 million. The increase in cash provided by operating activities primarily resulted from our net income of $89.4 million adjusted for non-cash items, and an increase in our working capital accounts driven by the growth of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2026 was $27.9 million, which includes the acquisition of intangible assets of approximately $5.3 million and capital expenditures of approximately $22.6 million. Net cash used in investing activities for the nine months ended September 30, 2025 was $32.9 million, principally due to the payment for the exercise of an option by the Company to buy out royalties owed to SWK Funding LLC in connection with the Company’s acquisition of Alimera and purchases of other intangible assets, which together totaled approximately $20.3 million, and capital expenditures of approximately $12.6 million.</w:t>
      </w: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4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8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2026 was $36.1 million, resulting from $21.5 million of treasury stock purchases for restricted stock vests, principal payments on our 2024 Credit Facility of $12.2 million, and $7.0 million paid for the repurchase of our common stock, offset by proceeds received from stock option exercises and 2016 Employee Stock Purchase Plan (“ESPP”) purchases of approximately $4.7 million. Net cash used in financing activities for the nine months ended September 30, 2025 was $5.3 million, principally resulting from $11.6 million of treasury stock purchases for restricted stock vests, principal payments on our 2024 Credit Facility of $6.1 million, offset by proceeds received from stock option exercises and ESPP 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ESTIMATES</w:t>
      </w:r>
    </w:p>
    <w:p>
      <w:pPr>
        <w:spacing w:after="0" w:line="18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disclosed in Part II, Item 8. Consolidated Financial Statements, Note 1, “Description of Business and Summary of Significant Accounting Policies” in our 2025 Form 10-K.</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Market risks include interest rate risk, equity risk, foreign currency exchange rate risk, commodity price risk, and other relevant market rate or price risks. Of these risks, interest rate risk, equity risk, and foreign currency exchange rate risk could have a significant impact on our results of operations. There have been no material changes in our exposure to market risks since the end of the most recent fiscal year as reported in our 2025 Form 10-K.</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principal executive officer and principal financial officer, as appropriate, to allow timely decisions regarding required disclosure.</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management has carried out an evaluation, under the supervision and with the participation of our principal executive officer and principal financial officer, of the effectiveness of the design and operation of our disclosure controls and procedures (as defined in Rules 13a-15(e) and 15d-15(e) under the Exchange Act), as of September 30, 2026. Based upon that evaluation, our principal executive officer and principal financial officer concluded that, as of the end of the period covered by this report, our disclosure controls and procedures were effective at the reasonable assurance level. In designing and evaluating our disclosure controls and procedures, we recognize that any controls and procedures, no matter how well designed and operated, can provide only reasonable assurance of achieving the desired control objectives.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2026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Please refer to Note 12 “Commitments and Contingencies” in the condensed consolidated financial statements (unaudited) included in Part I, Item 1 of this Quarterly Report on Form 10-Q, which is incorporated into this item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please carefully consider the factors described under the heading “Risk Factors” in our 2025 Form 10-K in Part I, Item 1A. The risks described are not the only risks facing us. Additional risks and uncertainties not currently known to us, or that our management currently deems to be immaterial, also may adversely affect our business, financial condition, and/or operating results.</w:t>
      </w:r>
    </w:p>
    <w:p>
      <w:pPr>
        <w:spacing w:after="0" w:line="1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are new material risk factors related to the pending acquisition of Egetis Therapeutics AB (“Egetis”) that could materially harm our business, financial position, or operating results or could cause our actual results to differ materially from our anticipated results or other expectations, including those expressed in any forward-looking statement made in this report.</w:t>
      </w:r>
    </w:p>
    <w:p>
      <w:pPr>
        <w:sectPr>
          <w:pgSz w:w="11900" w:h="16838" w:orient="portrait"/>
          <w:cols w:equalWidth="0" w:num="1">
            <w:col w:w="10860"/>
          </w:cols>
          <w:pgMar w:left="660" w:top="941" w:right="37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60" w:top="941" w:right="3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Risks Related to the Offer</w:t>
      </w:r>
    </w:p>
    <w:p>
      <w:pPr>
        <w:spacing w:after="0" w:line="239"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Offer is subject to a number of conditions beyond our control. Failure to complete the Offer within the expected time frame, or at all, could have a material adverse effect on our business, operating results, financial condition and our share price.</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5, 2026, the Company announced a recommended public offer to acquire the shares in Egetis Therapeutics AB (“Egetis”) for SEK 11.25 per share, representing a 27% premium to the 60-day VWAP, as well as the convertible debt and the warrants issued by Egetis (the “Offer”). The value of the Offer, including outstanding incentive programs, amounts to approximately SEK 5.6 billion or approximately $560.0 million (calculated utilizing 30 trading day average USD to SEK exchange rate of 9.9471 as of November 3, 2026).</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completion of the Offer is subject to certain customary closing conditions for an offer governed by the Swedish Takeover Rules, including holders of at least 90% of the outstanding Egetis shares (on a fully-diluted basis) tendering their shares into the Offer (the “Minimum Tender Condition”) and receipt of all necessary regulatory, governmental or similar clearances, approvals and decisions, including expiration or termination of the applicable waiting period under the Hart-Scott-Rodino Antitrust Improvements Act of 1976, as amended, and from foreign direct investment authorities. We reserve the right to withdraw the Offer in the event it becomes clear that any of the above conditions are not satisfied or cannot be satisfied. Other than with regard to the Minimum Tender Condition, however, such withdrawal will only be permitted if the non-satisfaction of such condition is of material importance to our acquisition of the shares in Egetis. We also reserve the right to waive, in whole or in part, any of the conditions to the Offer, including, with respect to the Minimum Tender Condition, to complete the Offer at a lower level of acceptance.</w:t>
      </w:r>
    </w:p>
    <w:p>
      <w:pPr>
        <w:spacing w:after="0" w:line="16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cannot predict whether and when the conditions to the Offer will be satisfied. If one or more of these conditions are not satisfied, and as a result, we do not complete the Offer, we would remain liable for significant transaction costs, and the focus of our management would have been diverted from seeking other potential strategic opportunities, in each case without realizing any benefits of the Offer. Further, any disruptions to our business resulting from the announcement and pendency of the Offer, including any adverse changes in our relationships with our partners, suppliers and employees, could continue or accelerate in the event that we fail to consummate the Offer.</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share price may also fluctuate significantly based on announcements by Egetis, other third parties, or us regarding the Offer or based on market perceptions of the likelihood of the satisfaction of the conditions to the consummation of the Offer. Such announcements may lead to perceptions in the market that the Offer may not be completed, which could cause our share price to fluctuate or decline. Other factors outside of our control, such as a governmental entity enacting legislation that prohibits the Offer, could cause us not to satisfy the governmental entity condition and thus the Offer would not be consummated.</w:t>
      </w:r>
    </w:p>
    <w:p>
      <w:pPr>
        <w:spacing w:after="0" w:line="1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do not consummate the Offer, the price of our common stock may decline significantly from the current market price, which may reflect a market assumption that the Offer will be consummated. Any of these events could have a material adverse effect on our business, operating results and financial condition and could cause a decline in the price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direct and indirect costs as a result of the Offer.</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and expenses, including fees for professional services and other transaction costs, in connection with the Offer, including costs that we may not currently expect. We must pay substantially all of these costs and expenses whether or not the transaction is completed. Moreover, many of the expenses that will be incurred are, by their nature, difficult to estimate accurately. To the extent these acquisition and integration expenses are higher than anticipated, we may experience liquidity or cash flow issues.</w:t>
      </w:r>
    </w:p>
    <w:p>
      <w:pPr>
        <w:spacing w:after="0" w:line="122"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obligations and liabilities of Egetis, some of which may be unanticipated or unknown, may be greater than we have anticipated, which may diminish the value of Egetis to us.</w:t>
      </w:r>
    </w:p>
    <w:p>
      <w:pPr>
        <w:spacing w:after="0" w:line="13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Egetis’ obligations and liabilities, some of which may not have been disclosed to us or may not be reflected or reserved for in Egetis’ historical financial statements, may be greater than we have anticipated. The obligations and liabilities of Egetis could have a material adverse effect on Egetis’ business or Egetis’ value to us or on our business, financial condition, or results of operations. In the event that we are responsible for liabilities substantially in excess of any amounts recovered through rights to indemnification or alternative remedies that might be available to us, or any applicable insurance, we could suffer severe consequences that would substantially reduce our earnings and cash flows or otherwise materially and adversely affect our business, financial condition, or results of operations.</w:t>
      </w:r>
    </w:p>
    <w:p>
      <w:pPr>
        <w:spacing w:after="0" w:line="200" w:lineRule="exact"/>
        <w:rPr>
          <w:sz w:val="20"/>
          <w:szCs w:val="20"/>
          <w:color w:val="auto"/>
        </w:rPr>
      </w:pPr>
    </w:p>
    <w:p>
      <w:pPr>
        <w:spacing w:after="0" w:line="2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substantial debt in order to satisfy our obligations in connection with the acquisition of Egetis.</w:t>
      </w:r>
    </w:p>
    <w:p>
      <w:pPr>
        <w:spacing w:after="0" w:line="20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In connection with the offer, we entered into a credit agreement (the “Credit Agreement”) relating to a 364-day senior bridge facility (the “Facility”), with the lenders named therein and JPMorgan Chase Bank, N.A., as administrative agent. The Facility provides for borrowings up to an aggregate principal amount of $676.0 million and matures 364 days after the initial day of funding, in each case, as further described in the Credit Agreement.</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service the debt we incur under the Credit Agreement, we will require a significant amount of cash. Our ability to make scheduled payments of principal and interest depends on our future performance, which is subject to economic, financial, competitive, and other factors beyond our control. Our business may not continue to generate cash flow from operations in the future sufficient to service our debt. If we are unable to generate such cash flow, we may be required to adopt one or more alternatives, such as selling assets, restructuring debt, or obtaining additional debt or equity financing on terms that may not be favorable to us or available to us at all. Our ability to refinance any such debt will depend on the capital markets and our financial condition at that time. We may not be able to engage in any of these activities or engage in these activities on desirable terms, which could result in a default under our current or future indebtedness. Any event of default or inability to otherwise satisfy our obligations could have a material adverse effect on our future operating results and financial condition.</w:t>
      </w:r>
    </w:p>
    <w:p>
      <w:pPr>
        <w:spacing w:after="0" w:line="14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acquisition of Egetis is consummated, the combined company may not perform as we or the market expects, which could have an adverse effect on the price of our common stock.</w:t>
      </w:r>
    </w:p>
    <w:p>
      <w:pPr>
        <w:spacing w:after="0" w:line="13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Even if the Offer is consummated, the combined company may not perform as we or the market expects. Risks associated with the combined company following the Offer include:</w:t>
      </w:r>
    </w:p>
    <w:p>
      <w:pPr>
        <w:spacing w:after="0" w:line="121" w:lineRule="exact"/>
        <w:rPr>
          <w:sz w:val="20"/>
          <w:szCs w:val="20"/>
          <w:color w:val="auto"/>
        </w:rPr>
      </w:pPr>
    </w:p>
    <w:p>
      <w:pPr>
        <w:ind w:left="640" w:right="180" w:hanging="324"/>
        <w:spacing w:after="0" w:line="282"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businesses is a difficult, expensive, and time-consuming process, and the failure to successfully integrate our businesses with the business of Egetis in the expected time frame would adversely affect our financial condition and results of operation;</w:t>
      </w:r>
    </w:p>
    <w:p>
      <w:pPr>
        <w:spacing w:after="0" w:line="12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inconsistencies in standards, controls, procedures and policies that will need to be reconciled;</w:t>
      </w:r>
    </w:p>
    <w:p>
      <w:pPr>
        <w:spacing w:after="0" w:line="198" w:lineRule="exact"/>
        <w:rPr>
          <w:rFonts w:ascii="Times New Roman" w:cs="Times New Roman" w:eastAsia="Times New Roman" w:hAnsi="Times New Roman"/>
          <w:sz w:val="18"/>
          <w:szCs w:val="18"/>
          <w:color w:val="auto"/>
        </w:rPr>
      </w:pPr>
    </w:p>
    <w:p>
      <w:pPr>
        <w:ind w:left="640" w:right="120" w:hanging="324"/>
        <w:spacing w:after="0" w:line="266"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key employees or key employees of Egetis might decide not to remain with us after the Egetis acquisition is completed, and the loss of such personnel could have a material adverse effect on the financial condition, results of operations, and growth prospects of the combined company;</w:t>
      </w:r>
    </w:p>
    <w:p>
      <w:pPr>
        <w:spacing w:after="0" w:line="135" w:lineRule="exact"/>
        <w:rPr>
          <w:rFonts w:ascii="Times New Roman" w:cs="Times New Roman" w:eastAsia="Times New Roman" w:hAnsi="Times New Roman"/>
          <w:sz w:val="18"/>
          <w:szCs w:val="18"/>
          <w:color w:val="auto"/>
        </w:rPr>
      </w:pPr>
    </w:p>
    <w:p>
      <w:pPr>
        <w:ind w:left="640" w:right="120" w:hanging="324"/>
        <w:spacing w:after="0" w:line="266"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combined company will also depend upon relationships with third parties and Egetis’ or our pre-existing customers, which relationships may be affected by customer preferences or public attitudes about the Offer. Any adverse changes in these relationships could adversely affect the combined company’s business, financial condition, and results of operations; and</w:t>
      </w:r>
    </w:p>
    <w:p>
      <w:pPr>
        <w:spacing w:after="0" w:line="135" w:lineRule="exact"/>
        <w:rPr>
          <w:rFonts w:ascii="Times New Roman" w:cs="Times New Roman" w:eastAsia="Times New Roman" w:hAnsi="Times New Roman"/>
          <w:sz w:val="18"/>
          <w:szCs w:val="18"/>
          <w:color w:val="auto"/>
        </w:rPr>
      </w:pPr>
    </w:p>
    <w:p>
      <w:pPr>
        <w:ind w:left="640" w:right="220" w:hanging="324"/>
        <w:spacing w:after="0" w:line="282"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government agencies or regulatory bodies impose requirements, limitations, costs, divestitures or restrictions on the consummation of the Offer, the combined company’s ability to realize the anticipated benefits of the acquisition may be impaired.</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 we intend to enter into the Offer with the expectation that the acquisition will result in, among other things, benefits relating to enhanced revenues, a strengthened market position for the combined company and operating efficiencies. Achieving the benefits of the Offer is subject to a number of uncertainties, including whether we integrate Egetis in an efficient manner, and general competitive factors in the marketplace. The occurrence of any of these Offer-related events individually or in combination could materially and adversely affect our business, results of operations, financial condition and the market price of our common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adverse movements in foreign currency exchange rates in connection with the Offer.</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Offer, we are offering SEK 11.25 in cash for each share of Egetis, as well as the convertible debt and the warrants. The value of the Offer, including outstanding incentive programs, amounts to approximately SEK 5.6 billion or approximately $560.0 million. We will be obligated to pay such amounts in Swedish krona upon consummation of the Offer. An increase in the value of Swedish krona compared to the US dollar could result in a higher effective purchase price payable by us due to currency exchange rate fluctuations. To date, we have not hedged against risks associated with foreign exchange rate exposure. Any hedging techniques we may implement in the future may not be successful, and our business, financial condition, and results of operations may be materially adversely affected by exchange rate fluctuations.</w:t>
      </w:r>
    </w:p>
    <w:p>
      <w:pPr>
        <w:spacing w:after="0" w:line="200" w:lineRule="exact"/>
        <w:rPr>
          <w:sz w:val="20"/>
          <w:szCs w:val="20"/>
          <w:color w:val="auto"/>
        </w:rPr>
      </w:pPr>
    </w:p>
    <w:p>
      <w:pPr>
        <w:spacing w:after="0" w:line="2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27" w:right="339" w:bottom="1440" w:gutter="0" w:footer="0" w:header="0"/>
        </w:sectPr>
      </w:pPr>
    </w:p>
    <w:bookmarkStart w:id="51" w:name="page52"/>
    <w:bookmarkEnd w:id="51"/>
    <w:p>
      <w:pPr>
        <w:ind w:left="8"/>
        <w:spacing w:after="0"/>
        <w:tabs>
          <w:tab w:leader="none" w:pos="708"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following table sets forth the repurchases of our common stock during the three months ended September 30, 2026.</w:t>
      </w:r>
    </w:p>
    <w:p>
      <w:pPr>
        <w:spacing w:after="0" w:line="212"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84"/>
        </w:trPr>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rPr>
              <w:t>value) of Shares</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that may yet be</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2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Purchased Under the</w:t>
            </w:r>
          </w:p>
        </w:tc>
        <w:tc>
          <w:tcPr>
            <w:tcW w:w="0" w:type="dxa"/>
            <w:vAlign w:val="bottom"/>
          </w:tcPr>
          <w:p>
            <w:pPr>
              <w:spacing w:after="0"/>
              <w:rPr>
                <w:sz w:val="1"/>
                <w:szCs w:val="1"/>
                <w:color w:val="auto"/>
              </w:rPr>
            </w:pPr>
          </w:p>
        </w:tc>
      </w:tr>
      <w:tr>
        <w:trPr>
          <w:trHeight w:val="189"/>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vMerge w:val="restart"/>
          </w:tcPr>
          <w:p>
            <w:pPr>
              <w:spacing w:after="0"/>
              <w:rPr>
                <w:sz w:val="16"/>
                <w:szCs w:val="16"/>
                <w:color w:val="auto"/>
              </w:rPr>
            </w:pPr>
          </w:p>
        </w:tc>
        <w:tc>
          <w:tcPr>
            <w:tcW w:w="14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 (in</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2"/>
              </w:rPr>
              <w:t xml:space="preserve">Purchased </w:t>
            </w:r>
            <w:r>
              <w:rPr>
                <w:rFonts w:ascii="Times New Roman" w:cs="Times New Roman" w:eastAsia="Times New Roman" w:hAnsi="Times New Roman"/>
                <w:sz w:val="23"/>
                <w:szCs w:val="23"/>
                <w:b w:val="1"/>
                <w:bCs w:val="1"/>
                <w:color w:val="auto"/>
                <w:w w:val="92"/>
                <w:vertAlign w:val="superscript"/>
              </w:rPr>
              <w:t>(1)(2)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8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3"/>
              </w:rPr>
              <w:t xml:space="preserve">Programs </w:t>
            </w:r>
            <w:r>
              <w:rPr>
                <w:rFonts w:ascii="Times New Roman" w:cs="Times New Roman" w:eastAsia="Times New Roman" w:hAnsi="Times New Roman"/>
                <w:sz w:val="23"/>
                <w:szCs w:val="23"/>
                <w:b w:val="1"/>
                <w:bCs w:val="1"/>
                <w:color w:val="auto"/>
                <w:w w:val="93"/>
                <w:vertAlign w:val="superscript"/>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50"/>
              <w:spacing w:after="0" w:line="230" w:lineRule="exact"/>
              <w:rPr>
                <w:sz w:val="20"/>
                <w:szCs w:val="20"/>
                <w:color w:val="auto"/>
              </w:rPr>
            </w:pPr>
            <w:r>
              <w:rPr>
                <w:rFonts w:ascii="Times New Roman" w:cs="Times New Roman" w:eastAsia="Times New Roman" w:hAnsi="Times New Roman"/>
                <w:sz w:val="18"/>
                <w:szCs w:val="18"/>
                <w:b w:val="1"/>
                <w:bCs w:val="1"/>
                <w:color w:val="auto"/>
                <w:w w:val="96"/>
              </w:rPr>
              <w:t>thousands)</w:t>
            </w:r>
            <w:r>
              <w:rPr>
                <w:rFonts w:ascii="Times New Roman" w:cs="Times New Roman" w:eastAsia="Times New Roman" w:hAnsi="Times New Roman"/>
                <w:sz w:val="23"/>
                <w:szCs w:val="23"/>
                <w:b w:val="1"/>
                <w:bCs w:val="1"/>
                <w:color w:val="auto"/>
                <w:w w:val="96"/>
                <w:vertAlign w:val="superscript"/>
              </w:rPr>
              <w:t>(2)</w:t>
            </w:r>
          </w:p>
        </w:tc>
        <w:tc>
          <w:tcPr>
            <w:tcW w:w="0" w:type="dxa"/>
            <w:vAlign w:val="bottom"/>
          </w:tcPr>
          <w:p>
            <w:pPr>
              <w:spacing w:after="0"/>
              <w:rPr>
                <w:sz w:val="1"/>
                <w:szCs w:val="1"/>
                <w:color w:val="auto"/>
              </w:rPr>
            </w:pPr>
          </w:p>
        </w:tc>
      </w:tr>
      <w:tr>
        <w:trPr>
          <w:trHeight w:val="237"/>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 2026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 2026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92,529</w:t>
            </w: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114,740</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80" w:type="dxa"/>
            <w:vAlign w:val="bottom"/>
          </w:tcPr>
          <w:p>
            <w:pPr>
              <w:spacing w:after="0"/>
              <w:rPr>
                <w:sz w:val="20"/>
                <w:szCs w:val="20"/>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102,492</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28" w:right="220" w:hanging="328"/>
        <w:spacing w:after="0" w:line="223" w:lineRule="auto"/>
        <w:tabs>
          <w:tab w:leader="none" w:pos="316"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aggregate of 12,248 shares of common stock that were transferred to the Company from employees in satisfaction of minimum tax withholding obligations associated with the vesting of restricted stock awards during the period.</w:t>
      </w:r>
    </w:p>
    <w:p>
      <w:pPr>
        <w:ind w:left="328" w:hanging="328"/>
        <w:spacing w:after="0" w:line="225" w:lineRule="auto"/>
        <w:tabs>
          <w:tab w:leader="none" w:pos="316"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May 2026, the Company’s Board of Directors approved a share repurchase program (the “Share Repurchase Program”) authorizing the Company to repurchase up to $100.0 million of the Company’s common stock. Repurchases under the Share Repurchase Program may be made using open market purchases, privately negotiated transactions, block purchases or other methods in accordance with applicable federal securities laws, including Rule 10b-18 of the Exchange Act. The Share Repurchase Program does not have a fixed expiration date, may be suspended or discontinued at any time, and does not obligate the Company to acquire any particular amount of our common stock. See Note 9 “Stockholders’ Equity” in the notes to the unaudited condensed consolidated financial statements in Part I, Item 1 of this Quarterly Report on Form 10-Q for further information.</w:t>
      </w:r>
    </w:p>
    <w:p>
      <w:pPr>
        <w:spacing w:after="0" w:line="170" w:lineRule="exact"/>
        <w:rPr>
          <w:sz w:val="20"/>
          <w:szCs w:val="20"/>
          <w:color w:val="auto"/>
        </w:rPr>
      </w:pPr>
    </w:p>
    <w:p>
      <w:pPr>
        <w:ind w:left="8"/>
        <w:spacing w:after="0"/>
        <w:tabs>
          <w:tab w:leader="none" w:pos="708"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8"/>
        <w:spacing w:after="0"/>
        <w:tabs>
          <w:tab w:leader="none" w:pos="708"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8"/>
        <w:spacing w:after="0"/>
        <w:tabs>
          <w:tab w:leader="none" w:pos="708"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87" w:lineRule="exact"/>
        <w:rPr>
          <w:sz w:val="20"/>
          <w:szCs w:val="20"/>
          <w:color w:val="auto"/>
        </w:rPr>
      </w:pPr>
    </w:p>
    <w:p>
      <w:pPr>
        <w:ind w:left="8" w:right="160"/>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may from time to time enter into plans or other arrangements for the purchase or sale of our common stock that are intended to satisfy the affirmative defense conditions of Rule 10b5-1(c) under the Exchange Act or may represent a “non-Rule 10b5-1 trading arrangement” (as defined in Item 408(c) of Regulation S-K).</w:t>
      </w:r>
    </w:p>
    <w:p>
      <w:pPr>
        <w:spacing w:after="0" w:line="149" w:lineRule="exact"/>
        <w:rPr>
          <w:sz w:val="20"/>
          <w:szCs w:val="20"/>
          <w:color w:val="auto"/>
        </w:rPr>
      </w:pPr>
    </w:p>
    <w:p>
      <w:pPr>
        <w:jc w:val="both"/>
        <w:ind w:left="8" w:right="200"/>
        <w:spacing w:after="0" w:line="266" w:lineRule="auto"/>
        <w:rPr>
          <w:sz w:val="20"/>
          <w:szCs w:val="20"/>
          <w:color w:val="auto"/>
        </w:rPr>
      </w:pPr>
      <w:r>
        <w:rPr>
          <w:rFonts w:ascii="Times New Roman" w:cs="Times New Roman" w:eastAsia="Times New Roman" w:hAnsi="Times New Roman"/>
          <w:sz w:val="18"/>
          <w:szCs w:val="18"/>
          <w:color w:val="auto"/>
        </w:rPr>
        <w:t>On August 24, 2026, Matthew J. Leonard, a member of the Board of Directors of the Company, adopted a Rule 10b5-1 trading plan. Mr. Leonard's Rule 10b5-1 trading plan provides for a term commencing on November 23, 2026 and ending on May 15, 2027 for the sale of up to 6,864 shares of common stock of the Company.</w:t>
      </w:r>
    </w:p>
    <w:p>
      <w:pPr>
        <w:spacing w:after="0" w:line="135" w:lineRule="exact"/>
        <w:rPr>
          <w:sz w:val="20"/>
          <w:szCs w:val="20"/>
          <w:color w:val="auto"/>
        </w:rPr>
      </w:pPr>
    </w:p>
    <w:p>
      <w:pPr>
        <w:ind w:left="8" w:right="40"/>
        <w:spacing w:after="0" w:line="266" w:lineRule="auto"/>
        <w:rPr>
          <w:sz w:val="20"/>
          <w:szCs w:val="20"/>
          <w:color w:val="auto"/>
        </w:rPr>
      </w:pPr>
      <w:r>
        <w:rPr>
          <w:rFonts w:ascii="Times New Roman" w:cs="Times New Roman" w:eastAsia="Times New Roman" w:hAnsi="Times New Roman"/>
          <w:sz w:val="18"/>
          <w:szCs w:val="18"/>
          <w:color w:val="auto"/>
        </w:rPr>
        <w:t>On September 4, 2026, Meredith Cook, Senior Vice President, General Counsel and Corporate Secretary, adopted a Rule 10b5-1 trading plan. Ms. Cook’s Rule 10b5-1 trading plan provides for a term commencing on January 15, 2027 and ending on December 31, 2027 for the sale of up to 12,000 shares of common stock of the Company.</w:t>
      </w:r>
    </w:p>
    <w:p>
      <w:pPr>
        <w:spacing w:after="0" w:line="135" w:lineRule="exact"/>
        <w:rPr>
          <w:sz w:val="20"/>
          <w:szCs w:val="20"/>
          <w:color w:val="auto"/>
        </w:rPr>
      </w:pPr>
    </w:p>
    <w:p>
      <w:pPr>
        <w:ind w:left="8" w:right="80"/>
        <w:spacing w:after="0" w:line="266" w:lineRule="auto"/>
        <w:rPr>
          <w:sz w:val="20"/>
          <w:szCs w:val="20"/>
          <w:color w:val="auto"/>
        </w:rPr>
      </w:pPr>
      <w:r>
        <w:rPr>
          <w:rFonts w:ascii="Times New Roman" w:cs="Times New Roman" w:eastAsia="Times New Roman" w:hAnsi="Times New Roman"/>
          <w:sz w:val="18"/>
          <w:szCs w:val="18"/>
          <w:color w:val="auto"/>
        </w:rPr>
        <w:t>On September 14, 2026, Jeanne Thoma, a member of the Board of Directors of the Company, adopted a Rule 10b5-1 trading plan. Ms. Thoma's Rule 10b5-1 trading plan provides for a term commencing on January 1, 2027 and ending on June 1, 2027 for the sale of up to 8,752 shares of common stock of the Company.</w:t>
      </w:r>
    </w:p>
    <w:p>
      <w:pPr>
        <w:sectPr>
          <w:pgSz w:w="11900" w:h="16838" w:orient="portrait"/>
          <w:cols w:equalWidth="0" w:num="1">
            <w:col w:w="10808"/>
          </w:cols>
          <w:pgMar w:left="652" w:top="941" w:right="4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212"/>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52" w:top="941" w:right="439" w:bottom="1440" w:gutter="0" w:footer="0" w:header="0"/>
          <w:type w:val="continuous"/>
        </w:sectPr>
      </w:pPr>
    </w:p>
    <w:bookmarkStart w:id="52" w:name="page53"/>
    <w:bookmarkEnd w:id="5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exhibits listed in the Index to </w:t>
      </w:r>
      <w:r>
        <w:rPr>
          <w:rFonts w:ascii="Times New Roman" w:cs="Times New Roman" w:eastAsia="Times New Roman" w:hAnsi="Times New Roman"/>
          <w:sz w:val="21"/>
          <w:szCs w:val="21"/>
          <w:color w:val="auto"/>
        </w:rPr>
        <w:t>Exhibits</w:t>
      </w:r>
      <w:r>
        <w:rPr>
          <w:rFonts w:ascii="Times New Roman" w:cs="Times New Roman" w:eastAsia="Times New Roman" w:hAnsi="Times New Roman"/>
          <w:sz w:val="18"/>
          <w:szCs w:val="18"/>
          <w:color w:val="auto"/>
        </w:rPr>
        <w:t>, which is incorporated herein by reference, are filed or furnished as part of this Quarterly Report on Form 10-Q.</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Borders>
              <w:bottom w:val="single" w:sz="8" w:color="auto"/>
            </w:tcBorders>
          </w:tcPr>
          <w:p>
            <w:pPr>
              <w:spacing w:after="0"/>
              <w:rPr>
                <w:sz w:val="20"/>
                <w:szCs w:val="20"/>
                <w:color w:val="auto"/>
              </w:rPr>
            </w:pPr>
          </w:p>
        </w:tc>
        <w:tc>
          <w:tcPr>
            <w:tcW w:w="9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31.1</w:t>
            </w:r>
          </w:p>
        </w:tc>
        <w:tc>
          <w:tcPr>
            <w:tcW w:w="20" w:type="dxa"/>
            <w:vAlign w:val="bottom"/>
          </w:tcPr>
          <w:p>
            <w:pPr>
              <w:spacing w:after="0"/>
              <w:rPr>
                <w:sz w:val="17"/>
                <w:szCs w:val="17"/>
                <w:color w:val="auto"/>
              </w:rPr>
            </w:pPr>
          </w:p>
        </w:tc>
        <w:tc>
          <w:tcPr>
            <w:tcW w:w="9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 Rule 13a-14(a)/15d-14(a).</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31.2</w:t>
            </w:r>
          </w:p>
        </w:tc>
        <w:tc>
          <w:tcPr>
            <w:tcW w:w="20" w:type="dxa"/>
            <w:vAlign w:val="bottom"/>
          </w:tcPr>
          <w:p>
            <w:pPr>
              <w:spacing w:after="0"/>
              <w:rPr>
                <w:sz w:val="19"/>
                <w:szCs w:val="19"/>
                <w:color w:val="auto"/>
              </w:rPr>
            </w:pPr>
          </w:p>
        </w:tc>
        <w:tc>
          <w:tcPr>
            <w:tcW w:w="91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 Rule 13a-14(a)/15d-14(a).</w:t>
            </w:r>
          </w:p>
        </w:tc>
        <w:tc>
          <w:tcPr>
            <w:tcW w:w="40" w:type="dxa"/>
            <w:vAlign w:val="bottom"/>
            <w:tcBorders>
              <w:top w:val="single" w:sz="8" w:color="0000FF"/>
            </w:tcBorders>
          </w:tcPr>
          <w:p>
            <w:pPr>
              <w:spacing w:after="0"/>
              <w:rPr>
                <w:sz w:val="19"/>
                <w:szCs w:val="19"/>
                <w:color w:val="auto"/>
              </w:rPr>
            </w:pP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32.1*</w:t>
            </w:r>
          </w:p>
        </w:tc>
        <w:tc>
          <w:tcPr>
            <w:tcW w:w="20" w:type="dxa"/>
            <w:vAlign w:val="bottom"/>
          </w:tcPr>
          <w:p>
            <w:pPr>
              <w:spacing w:after="0"/>
              <w:rPr>
                <w:sz w:val="19"/>
                <w:szCs w:val="19"/>
                <w:color w:val="auto"/>
              </w:rPr>
            </w:pPr>
          </w:p>
        </w:tc>
        <w:tc>
          <w:tcPr>
            <w:tcW w:w="9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9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20" w:type="dxa"/>
            <w:vAlign w:val="bottom"/>
          </w:tcPr>
          <w:p>
            <w:pPr>
              <w:spacing w:after="0"/>
              <w:rPr>
                <w:sz w:val="21"/>
                <w:szCs w:val="21"/>
                <w:color w:val="auto"/>
              </w:rPr>
            </w:pPr>
          </w:p>
        </w:tc>
        <w:tc>
          <w:tcPr>
            <w:tcW w:w="9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20" w:type="dxa"/>
            <w:vAlign w:val="bottom"/>
          </w:tcPr>
          <w:p>
            <w:pPr>
              <w:spacing w:after="0"/>
              <w:rPr>
                <w:sz w:val="21"/>
                <w:szCs w:val="21"/>
                <w:color w:val="auto"/>
              </w:rPr>
            </w:pPr>
          </w:p>
        </w:tc>
        <w:tc>
          <w:tcPr>
            <w:tcW w:w="9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20" w:type="dxa"/>
            <w:vAlign w:val="bottom"/>
          </w:tcPr>
          <w:p>
            <w:pPr>
              <w:spacing w:after="0"/>
              <w:rPr>
                <w:sz w:val="21"/>
                <w:szCs w:val="21"/>
                <w:color w:val="auto"/>
              </w:rPr>
            </w:pPr>
          </w:p>
        </w:tc>
        <w:tc>
          <w:tcPr>
            <w:tcW w:w="9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101.PRE</w:t>
            </w:r>
          </w:p>
        </w:tc>
        <w:tc>
          <w:tcPr>
            <w:tcW w:w="20" w:type="dxa"/>
            <w:vAlign w:val="bottom"/>
          </w:tcPr>
          <w:p>
            <w:pPr>
              <w:spacing w:after="0"/>
              <w:rPr>
                <w:sz w:val="21"/>
                <w:szCs w:val="21"/>
                <w:color w:val="auto"/>
              </w:rPr>
            </w:pPr>
          </w:p>
        </w:tc>
        <w:tc>
          <w:tcPr>
            <w:tcW w:w="9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20" w:type="dxa"/>
            <w:vAlign w:val="bottom"/>
          </w:tcPr>
          <w:p>
            <w:pPr>
              <w:spacing w:after="0"/>
              <w:rPr>
                <w:sz w:val="21"/>
                <w:szCs w:val="21"/>
                <w:color w:val="auto"/>
              </w:rPr>
            </w:pPr>
          </w:p>
        </w:tc>
        <w:tc>
          <w:tcPr>
            <w:tcW w:w="9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bl>
    <w:p>
      <w:pPr>
        <w:spacing w:after="0" w:line="9" w:lineRule="exact"/>
        <w:rPr>
          <w:sz w:val="20"/>
          <w:szCs w:val="20"/>
          <w:color w:val="auto"/>
        </w:rPr>
      </w:pPr>
    </w:p>
    <w:p>
      <w:pPr>
        <w:ind w:right="3040" w:firstLine="10"/>
        <w:spacing w:after="0" w:line="360" w:lineRule="auto"/>
        <w:tabs>
          <w:tab w:leader="none" w:pos="1192"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 * In accordance with SEC Release 33-8238, Exhibit 32.1 is being furnished and not filed.</w:t>
      </w:r>
    </w:p>
    <w:p>
      <w:pPr>
        <w:spacing w:after="0" w:line="32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660" w:top="941" w:right="4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48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ANI Pharmaceuticals, Inc. (Registrant)</w:t>
            </w:r>
          </w:p>
        </w:tc>
      </w:tr>
      <w:tr>
        <w:trPr>
          <w:trHeight w:val="40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5, 2026</w:t>
            </w:r>
          </w:p>
        </w:tc>
        <w:tc>
          <w:tcPr>
            <w:tcW w:w="28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Nikhil Lalwani</w:t>
            </w:r>
          </w:p>
        </w:tc>
      </w:tr>
      <w:tr>
        <w:trPr>
          <w:trHeight w:val="237"/>
        </w:trPr>
        <w:tc>
          <w:tcPr>
            <w:tcW w:w="5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Nikhil Lalwani</w:t>
            </w:r>
          </w:p>
        </w:tc>
      </w:tr>
      <w:tr>
        <w:trPr>
          <w:trHeight w:val="243"/>
        </w:trPr>
        <w:tc>
          <w:tcPr>
            <w:tcW w:w="5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w:t>
            </w:r>
          </w:p>
        </w:tc>
      </w:tr>
      <w:tr>
        <w:trPr>
          <w:trHeight w:val="243"/>
        </w:trPr>
        <w:tc>
          <w:tcPr>
            <w:tcW w:w="5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5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1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5, 2026</w:t>
            </w:r>
          </w:p>
        </w:tc>
        <w:tc>
          <w:tcPr>
            <w:tcW w:w="28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P. Carey</w:t>
            </w:r>
          </w:p>
        </w:tc>
      </w:tr>
      <w:tr>
        <w:trPr>
          <w:trHeight w:val="237"/>
        </w:trPr>
        <w:tc>
          <w:tcPr>
            <w:tcW w:w="5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P. Carey</w:t>
            </w:r>
          </w:p>
        </w:tc>
      </w:tr>
      <w:tr>
        <w:trPr>
          <w:trHeight w:val="243"/>
        </w:trPr>
        <w:tc>
          <w:tcPr>
            <w:tcW w:w="5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and</w:t>
            </w:r>
          </w:p>
        </w:tc>
      </w:tr>
      <w:tr>
        <w:trPr>
          <w:trHeight w:val="243"/>
        </w:trPr>
        <w:tc>
          <w:tcPr>
            <w:tcW w:w="5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5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43"/>
        </w:trPr>
        <w:tc>
          <w:tcPr>
            <w:tcW w:w="5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54</w:t>
            </w:r>
          </w:p>
        </w:tc>
        <w:tc>
          <w:tcPr>
            <w:tcW w:w="4620" w:type="dxa"/>
            <w:vAlign w:val="bottom"/>
          </w:tcPr>
          <w:p>
            <w:pPr>
              <w:spacing w:after="0"/>
              <w:rPr>
                <w:sz w:val="24"/>
                <w:szCs w:val="24"/>
                <w:color w:val="auto"/>
              </w:rPr>
            </w:pPr>
          </w:p>
        </w:tc>
      </w:tr>
    </w:tbl>
    <w:p>
      <w:pPr>
        <w:sectPr>
          <w:pgSz w:w="11900" w:h="16838" w:orient="portrait"/>
          <w:cols w:equalWidth="0" w:num="1">
            <w:col w:w="11240"/>
          </w:cols>
          <w:pgMar w:left="320" w:top="94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Nikhil Lalwani, certify that:</w:t>
      </w:r>
    </w:p>
    <w:p>
      <w:pPr>
        <w:spacing w:after="0" w:line="18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ANI Pharmaceuticals, Inc.;</w:t>
      </w:r>
    </w:p>
    <w:p>
      <w:pPr>
        <w:spacing w:after="0" w:line="19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color w:val="auto"/>
        </w:rPr>
        <w:t>/s/ Nikhil Lalwani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Nikhil Lalwani</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Carey, certify that:</w:t>
      </w:r>
    </w:p>
    <w:p>
      <w:pPr>
        <w:spacing w:after="0" w:line="18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ANI Pharmaceuticals, Inc.;</w:t>
      </w:r>
    </w:p>
    <w:p>
      <w:pPr>
        <w:spacing w:after="0" w:line="19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color w:val="auto"/>
        </w:rPr>
        <w:t>/s/ Stephen P.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Stephen P. Carey</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0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6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ANI Pharmaceuticals, Inc. (the “Company”) for the quarterly period ended September 30, 2026 (the “Report”) as filed with the Securities and Exchange Commission on the date hereof, the undersigned Chief Executive Officer and Chief Financial Officer of the Company hereby certify that, to such officer’s knowledge:</w:t>
      </w:r>
    </w:p>
    <w:p>
      <w:pPr>
        <w:spacing w:after="0" w:line="135" w:lineRule="exact"/>
        <w:rPr>
          <w:sz w:val="20"/>
          <w:szCs w:val="20"/>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500" w:right="40" w:hanging="6"/>
        <w:spacing w:after="0" w:line="513" w:lineRule="auto"/>
        <w:tabs>
          <w:tab w:leader="none" w:pos="81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This certification is provided solely pursuant to 18 U.S.C. Section 1350, as adopted pursuant to Section 906 of the Sarbanes-Oxley Act of 2002.</w:t>
      </w:r>
    </w:p>
    <w:p>
      <w:pPr>
        <w:spacing w:after="0" w:line="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18"/>
          <w:szCs w:val="18"/>
          <w:color w:val="auto"/>
        </w:rPr>
        <w:t>/s/ Nikhil Lalwani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Nikhil Lalwani</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3"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17"/>
          <w:szCs w:val="17"/>
          <w:color w:val="auto"/>
        </w:rPr>
        <w:t>/s/ Stephen P.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Stephen P. Carey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lowerRoman"/>
      <w:start w:val="2"/>
    </w:lvl>
  </w:abstractNum>
  <w:abstractNum w:abstractNumId="5">
    <w:nsid w:val="6763845E"/>
    <w:multiLevelType w:val="hybridMultilevel"/>
    <w:lvl w:ilvl="0">
      <w:lvlJc w:val="left"/>
      <w:lvlText w:val="%1."/>
      <w:numFmt w:val="decimal"/>
      <w:start w:val="2"/>
    </w:lvl>
    <w:lvl w:ilvl="1">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3"/>
    </w:lvl>
  </w:abstractNum>
  <w:abstractNum w:abstractNumId="9">
    <w:nsid w:val="4353D0CD"/>
    <w:multiLevelType w:val="hybridMultilevel"/>
    <w:lvl w:ilvl="0">
      <w:lvlJc w:val="left"/>
      <w:lvlText w:val="%1."/>
      <w:numFmt w:val="decimal"/>
      <w:start w:val="4"/>
    </w:lvl>
  </w:abstractNum>
  <w:abstractNum w:abstractNumId="10">
    <w:nsid w:val="B03E0C6"/>
    <w:multiLevelType w:val="hybridMultilevel"/>
    <w:lvl w:ilvl="0">
      <w:lvlJc w:val="left"/>
      <w:lvlText w:val="%1."/>
      <w:numFmt w:val="decimal"/>
      <w:start w:val="5"/>
    </w:lvl>
  </w:abstractNum>
  <w:abstractNum w:abstractNumId="11">
    <w:nsid w:val="189A769B"/>
    <w:multiLevelType w:val="hybridMultilevel"/>
    <w:lvl w:ilvl="0">
      <w:lvlJc w:val="left"/>
      <w:lvlText w:val="%1."/>
      <w:numFmt w:val="decimal"/>
      <w:start w:val="6"/>
    </w:lvl>
  </w:abstractNum>
  <w:abstractNum w:abstractNumId="12">
    <w:nsid w:val="54E49EB4"/>
    <w:multiLevelType w:val="hybridMultilevel"/>
    <w:lvl w:ilvl="0">
      <w:lvlJc w:val="left"/>
      <w:lvlText w:val="%1."/>
      <w:numFmt w:val="decimal"/>
      <w:start w:val="7"/>
    </w:lvl>
  </w:abstractNum>
  <w:abstractNum w:abstractNumId="13">
    <w:nsid w:val="71F32454"/>
    <w:multiLevelType w:val="hybridMultilevel"/>
    <w:lvl w:ilvl="0">
      <w:lvlJc w:val="left"/>
      <w:lvlText w:val="%1."/>
      <w:numFmt w:val="decimal"/>
      <w:start w:val="8"/>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9"/>
    </w:lvl>
  </w:abstractNum>
  <w:abstractNum w:abstractNumId="16">
    <w:nsid w:val="2901D82"/>
    <w:multiLevelType w:val="hybridMultilevel"/>
    <w:lvl w:ilvl="0">
      <w:lvlJc w:val="left"/>
      <w:lvlText w:val="%1."/>
      <w:numFmt w:val="decimal"/>
      <w:start w:val="10"/>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1"/>
    </w:lvl>
  </w:abstractNum>
  <w:abstractNum w:abstractNumId="19">
    <w:nsid w:val="1E7FF521"/>
    <w:multiLevelType w:val="hybridMultilevel"/>
    <w:lvl w:ilvl="0">
      <w:lvlJc w:val="left"/>
      <w:lvlText w:val="%1."/>
      <w:numFmt w:val="decimal"/>
      <w:start w:val="12"/>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lvl w:ilvl="1">
      <w:lvlJc w:val="left"/>
      <w:lvlText w:val="•"/>
      <w:numFmt w:val="bullet"/>
      <w:start w:val="1"/>
    </w:lvl>
  </w:abstractNum>
  <w:abstractNum w:abstractNumId="25">
    <w:nsid w:val="3006C83E"/>
    <w:multiLevelType w:val="hybridMultilevel"/>
    <w:lvl w:ilvl="0">
      <w:lvlJc w:val="left"/>
      <w:lvlText w:val="•"/>
      <w:numFmt w:val="bullet"/>
      <w:start w:val="1"/>
    </w:lvl>
    <w:lvl w:ilvl="1">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lvl w:ilvl="1">
      <w:lvlJc w:val="left"/>
      <w:lvlText w:val="•"/>
      <w:numFmt w:val="bullet"/>
      <w:start w:val="1"/>
    </w:lvl>
  </w:abstractNum>
  <w:abstractNum w:abstractNumId="31">
    <w:nsid w:val="3804823E"/>
    <w:multiLevelType w:val="hybridMultilevel"/>
    <w:lvl w:ilvl="0">
      <w:lvlJc w:val="left"/>
      <w:lvlText w:val="•"/>
      <w:numFmt w:val="bullet"/>
      <w:start w:val="1"/>
    </w:lvl>
    <w:lvl w:ilvl="1">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lvl w:ilvl="1">
      <w:lvlJc w:val="left"/>
      <w:lvlText w:val="%2"/>
      <w:numFmt w:val="decimal"/>
      <w:start w:val="104"/>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2026-11-05T06:03:11Z</dcterms:created>
  <dcterms:modified xsi:type="dcterms:W3CDTF">2026-11-05T06:03:11Z</dcterms:modified>
</cp:coreProperties>
</file>